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rPr>
        <w:id w:val="379907177"/>
        <w:docPartObj>
          <w:docPartGallery w:val="Cover Pages"/>
          <w:docPartUnique/>
        </w:docPartObj>
      </w:sdtPr>
      <w:sdtEndPr/>
      <w:sdtContent>
        <w:sdt>
          <w:sdtPr>
            <w:rPr>
              <w:rFonts w:cs="Times New Roman"/>
            </w:rPr>
            <w:id w:val="1226569398"/>
            <w:docPartObj>
              <w:docPartGallery w:val="Cover Pages"/>
              <w:docPartUnique/>
            </w:docPartObj>
          </w:sdtPr>
          <w:sdtEndPr/>
          <w:sdtContent>
            <w:p w:rsidR="00DC53BE" w:rsidRPr="00F40195" w:rsidRDefault="00DC53BE" w:rsidP="00F40195">
              <w:pPr>
                <w:spacing w:line="240" w:lineRule="auto"/>
                <w:rPr>
                  <w:rFonts w:cs="Times New Roman"/>
                </w:rPr>
              </w:pPr>
            </w:p>
            <w:p w:rsidR="00DC53BE" w:rsidRPr="00F40195" w:rsidRDefault="00DC53BE" w:rsidP="00F40195">
              <w:pPr>
                <w:spacing w:line="240" w:lineRule="auto"/>
                <w:rPr>
                  <w:rFonts w:cs="Times New Roman"/>
                </w:rPr>
              </w:pPr>
              <w:r w:rsidRPr="00F40195">
                <w:rPr>
                  <w:rFonts w:cs="Times New Roman"/>
                  <w:noProof/>
                </w:rPr>
                <w:drawing>
                  <wp:inline distT="0" distB="0" distL="0" distR="0">
                    <wp:extent cx="2543175" cy="1538864"/>
                    <wp:effectExtent l="0" t="0" r="0" b="4445"/>
                    <wp:docPr id="1" name="Picture 1" descr="G:\64 Gig Backup 4\Adequacy Studies\Picus Odden &amp; Associat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64 Gig Backup 4\Adequacy Studies\Picus Odden &amp; Associates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538864"/>
                            </a:xfrm>
                            <a:prstGeom prst="rect">
                              <a:avLst/>
                            </a:prstGeom>
                            <a:noFill/>
                            <a:ln>
                              <a:noFill/>
                            </a:ln>
                          </pic:spPr>
                        </pic:pic>
                      </a:graphicData>
                    </a:graphic>
                  </wp:inline>
                </w:drawing>
              </w:r>
            </w:p>
            <w:p w:rsidR="00DC53BE" w:rsidRPr="00F40195" w:rsidRDefault="00DC53BE" w:rsidP="00F40195">
              <w:pPr>
                <w:spacing w:line="240" w:lineRule="auto"/>
                <w:rPr>
                  <w:rFonts w:cs="Times New Roman"/>
                </w:rPr>
              </w:pPr>
            </w:p>
            <w:p w:rsidR="0023073A" w:rsidRDefault="00DC53BE" w:rsidP="0023073A">
              <w:pPr>
                <w:spacing w:line="240" w:lineRule="auto"/>
                <w:jc w:val="center"/>
                <w:rPr>
                  <w:rFonts w:cs="Times New Roman"/>
                  <w:b/>
                  <w:bCs/>
                  <w:smallCaps/>
                  <w:color w:val="1F497D" w:themeColor="text2"/>
                  <w:sz w:val="40"/>
                  <w:szCs w:val="40"/>
                </w:rPr>
              </w:pPr>
              <w:r w:rsidRPr="00F40195">
                <w:rPr>
                  <w:rFonts w:cs="Times New Roman"/>
                  <w:b/>
                  <w:bCs/>
                  <w:smallCaps/>
                  <w:color w:val="1F497D" w:themeColor="text2"/>
                  <w:sz w:val="40"/>
                  <w:szCs w:val="40"/>
                </w:rPr>
                <w:t>Adequ</w:t>
              </w:r>
              <w:r w:rsidR="000A13A1" w:rsidRPr="00F40195">
                <w:rPr>
                  <w:rFonts w:cs="Times New Roman"/>
                  <w:b/>
                  <w:bCs/>
                  <w:smallCaps/>
                  <w:color w:val="1F497D" w:themeColor="text2"/>
                  <w:sz w:val="40"/>
                  <w:szCs w:val="40"/>
                </w:rPr>
                <w:t>acy for Excellence in Kentucky</w:t>
              </w:r>
              <w:r w:rsidR="0022107D">
                <w:rPr>
                  <w:rFonts w:cs="Times New Roman"/>
                  <w:b/>
                  <w:bCs/>
                  <w:smallCaps/>
                  <w:color w:val="1F497D" w:themeColor="text2"/>
                  <w:sz w:val="40"/>
                  <w:szCs w:val="40"/>
                </w:rPr>
                <w:t xml:space="preserve">:  </w:t>
              </w:r>
            </w:p>
            <w:p w:rsidR="00DC53BE" w:rsidRPr="00F40195" w:rsidRDefault="0022107D" w:rsidP="0023073A">
              <w:pPr>
                <w:spacing w:line="240" w:lineRule="auto"/>
                <w:jc w:val="center"/>
                <w:rPr>
                  <w:rFonts w:cs="Times New Roman"/>
                  <w:b/>
                  <w:bCs/>
                  <w:smallCaps/>
                  <w:color w:val="1F497D" w:themeColor="text2"/>
                  <w:sz w:val="40"/>
                  <w:szCs w:val="40"/>
                </w:rPr>
              </w:pPr>
              <w:r>
                <w:rPr>
                  <w:rFonts w:cs="Times New Roman"/>
                  <w:b/>
                  <w:bCs/>
                  <w:smallCaps/>
                  <w:color w:val="1F497D" w:themeColor="text2"/>
                  <w:sz w:val="40"/>
                  <w:szCs w:val="40"/>
                </w:rPr>
                <w:t>Report 1</w:t>
              </w:r>
              <w:r w:rsidR="006776C3">
                <w:rPr>
                  <w:rFonts w:cs="Times New Roman"/>
                  <w:b/>
                  <w:bCs/>
                  <w:smallCaps/>
                  <w:color w:val="1F497D" w:themeColor="text2"/>
                  <w:sz w:val="40"/>
                  <w:szCs w:val="40"/>
                </w:rPr>
                <w:t xml:space="preserve"> (of 2)</w:t>
              </w:r>
            </w:p>
            <w:p w:rsidR="00DC53BE" w:rsidRPr="00F40195" w:rsidRDefault="00DC53BE" w:rsidP="00F40195">
              <w:pPr>
                <w:tabs>
                  <w:tab w:val="left" w:pos="6720"/>
                </w:tabs>
                <w:spacing w:line="240" w:lineRule="auto"/>
                <w:rPr>
                  <w:rFonts w:cs="Times New Roman"/>
                </w:rPr>
              </w:pPr>
              <w:r w:rsidRPr="00F40195">
                <w:rPr>
                  <w:rFonts w:cs="Times New Roman"/>
                </w:rPr>
                <w:tab/>
              </w:r>
            </w:p>
            <w:p w:rsidR="00DC53BE" w:rsidRPr="00F40195" w:rsidRDefault="00DC53BE" w:rsidP="00F40195">
              <w:pPr>
                <w:tabs>
                  <w:tab w:val="left" w:pos="6720"/>
                </w:tabs>
                <w:spacing w:line="240" w:lineRule="auto"/>
                <w:rPr>
                  <w:rFonts w:cs="Times New Roman"/>
                </w:rPr>
              </w:pPr>
            </w:p>
            <w:p w:rsidR="00DC53BE" w:rsidRPr="00F40195" w:rsidRDefault="00DC53BE" w:rsidP="00F40195">
              <w:pPr>
                <w:tabs>
                  <w:tab w:val="left" w:pos="6720"/>
                </w:tabs>
                <w:spacing w:line="240" w:lineRule="auto"/>
                <w:rPr>
                  <w:rFonts w:cs="Times New Roman"/>
                </w:rPr>
              </w:pPr>
            </w:p>
            <w:p w:rsidR="00DC53BE" w:rsidRPr="00F40195" w:rsidRDefault="00DC53BE" w:rsidP="00F40195">
              <w:pPr>
                <w:spacing w:line="240" w:lineRule="auto"/>
                <w:jc w:val="center"/>
                <w:rPr>
                  <w:rFonts w:cs="Times New Roman"/>
                  <w:b/>
                </w:rPr>
              </w:pPr>
              <w:r w:rsidRPr="00F40195">
                <w:rPr>
                  <w:rFonts w:cs="Times New Roman"/>
                  <w:b/>
                </w:rPr>
                <w:t>Presented to</w:t>
              </w:r>
              <w:r w:rsidR="00667CC1" w:rsidRPr="00F40195">
                <w:rPr>
                  <w:rFonts w:cs="Times New Roman"/>
                  <w:b/>
                </w:rPr>
                <w:t xml:space="preserve"> the</w:t>
              </w:r>
            </w:p>
            <w:p w:rsidR="00DC53BE" w:rsidRPr="00F40195" w:rsidRDefault="00DC53BE" w:rsidP="00F40195">
              <w:pPr>
                <w:spacing w:line="240" w:lineRule="auto"/>
                <w:jc w:val="center"/>
                <w:rPr>
                  <w:rFonts w:cs="Times New Roman"/>
                  <w:b/>
                </w:rPr>
              </w:pPr>
              <w:r w:rsidRPr="00F40195">
                <w:rPr>
                  <w:rFonts w:cs="Times New Roman"/>
                  <w:b/>
                </w:rPr>
                <w:t>Council for Better Education</w:t>
              </w:r>
            </w:p>
            <w:p w:rsidR="006934CE" w:rsidRPr="00F40195" w:rsidRDefault="006934CE" w:rsidP="00F40195">
              <w:pPr>
                <w:spacing w:line="240" w:lineRule="auto"/>
                <w:jc w:val="center"/>
                <w:rPr>
                  <w:rFonts w:cs="Times New Roman"/>
                  <w:b/>
                </w:rPr>
              </w:pPr>
            </w:p>
            <w:p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Tom Shelton, President (Fayette County)</w:t>
              </w:r>
            </w:p>
            <w:p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Nannette Johns</w:t>
              </w:r>
              <w:r w:rsidR="00C903BA">
                <w:rPr>
                  <w:rFonts w:eastAsia="Times New Roman" w:cs="Times New Roman"/>
                  <w:sz w:val="22"/>
                </w:rPr>
                <w:t>t</w:t>
              </w:r>
              <w:r w:rsidRPr="00F40195">
                <w:rPr>
                  <w:rFonts w:eastAsia="Times New Roman" w:cs="Times New Roman"/>
                  <w:sz w:val="22"/>
                </w:rPr>
                <w:t>on, Treasurer (Hardin County)</w:t>
              </w:r>
            </w:p>
            <w:p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Ed McNeel, Vice President (Corbin Independent)</w:t>
              </w:r>
            </w:p>
            <w:p w:rsidR="006934CE" w:rsidRPr="00F40195" w:rsidRDefault="006934CE" w:rsidP="00F40195">
              <w:pPr>
                <w:spacing w:line="240" w:lineRule="auto"/>
                <w:jc w:val="center"/>
                <w:rPr>
                  <w:rFonts w:eastAsia="Times New Roman" w:cs="Times New Roman"/>
                  <w:sz w:val="22"/>
                </w:rPr>
              </w:pPr>
              <w:r w:rsidRPr="00F40195">
                <w:rPr>
                  <w:rFonts w:eastAsia="Times New Roman" w:cs="Times New Roman"/>
                  <w:sz w:val="22"/>
                </w:rPr>
                <w:t>Anthony Strong, Vice President (Pendleton County)</w:t>
              </w:r>
            </w:p>
            <w:p w:rsidR="006934CE" w:rsidRPr="00F40195" w:rsidRDefault="006934CE" w:rsidP="00F40195">
              <w:pPr>
                <w:spacing w:line="240" w:lineRule="auto"/>
                <w:jc w:val="center"/>
                <w:rPr>
                  <w:rFonts w:cs="Times New Roman"/>
                  <w:b/>
                </w:rPr>
              </w:pPr>
            </w:p>
            <w:p w:rsidR="006934CE" w:rsidRPr="00F40195" w:rsidRDefault="006934CE" w:rsidP="00F40195">
              <w:pPr>
                <w:spacing w:line="240" w:lineRule="auto"/>
                <w:jc w:val="center"/>
                <w:rPr>
                  <w:rFonts w:cs="Times New Roman"/>
                  <w:b/>
                </w:rPr>
              </w:pPr>
            </w:p>
            <w:p w:rsidR="006934CE" w:rsidRPr="00F40195" w:rsidRDefault="006934CE" w:rsidP="00F40195">
              <w:pPr>
                <w:spacing w:line="240" w:lineRule="auto"/>
                <w:rPr>
                  <w:rFonts w:cs="Times New Roman"/>
                  <w:b/>
                </w:rPr>
              </w:pPr>
            </w:p>
            <w:p w:rsidR="00DC53BE" w:rsidRPr="00F40195" w:rsidRDefault="00DC53BE" w:rsidP="00F40195">
              <w:pPr>
                <w:spacing w:line="240" w:lineRule="auto"/>
                <w:jc w:val="center"/>
                <w:rPr>
                  <w:rFonts w:cs="Times New Roman"/>
                  <w:b/>
                </w:rPr>
              </w:pPr>
              <w:r w:rsidRPr="00F40195">
                <w:rPr>
                  <w:rFonts w:cs="Times New Roman"/>
                  <w:b/>
                </w:rPr>
                <w:t>2014</w:t>
              </w:r>
            </w:p>
            <w:p w:rsidR="00DC53BE" w:rsidRPr="00F40195" w:rsidRDefault="00B0771A" w:rsidP="00F40195">
              <w:pPr>
                <w:spacing w:line="240" w:lineRule="auto"/>
                <w:jc w:val="center"/>
                <w:rPr>
                  <w:rFonts w:cs="Times New Roman"/>
                  <w:b/>
                  <w:color w:val="FF0000"/>
                </w:rPr>
              </w:pPr>
              <w:r w:rsidRPr="00F40195">
                <w:rPr>
                  <w:rFonts w:cs="Times New Roman"/>
                  <w:b/>
                  <w:color w:val="FF0000"/>
                </w:rPr>
                <w:t>(</w:t>
              </w:r>
              <w:r w:rsidR="004334A9" w:rsidRPr="00F40195">
                <w:rPr>
                  <w:rFonts w:cs="Times New Roman"/>
                  <w:b/>
                  <w:color w:val="FF0000"/>
                </w:rPr>
                <w:t>Updated</w:t>
              </w:r>
              <w:r w:rsidRPr="00F40195">
                <w:rPr>
                  <w:rFonts w:cs="Times New Roman"/>
                  <w:b/>
                  <w:color w:val="FF0000"/>
                </w:rPr>
                <w:t xml:space="preserve"> </w:t>
              </w:r>
              <w:r w:rsidR="00C903BA">
                <w:rPr>
                  <w:rFonts w:cs="Times New Roman"/>
                  <w:b/>
                  <w:color w:val="FF0000"/>
                </w:rPr>
                <w:t>12-0</w:t>
              </w:r>
              <w:r w:rsidR="007878FC">
                <w:rPr>
                  <w:rFonts w:cs="Times New Roman"/>
                  <w:b/>
                  <w:color w:val="FF0000"/>
                </w:rPr>
                <w:t>2</w:t>
              </w:r>
              <w:r w:rsidR="004C2F91" w:rsidRPr="00F40195">
                <w:rPr>
                  <w:rFonts w:cs="Times New Roman"/>
                  <w:b/>
                  <w:color w:val="FF0000"/>
                </w:rPr>
                <w:t>-</w:t>
              </w:r>
              <w:r w:rsidR="005178FB" w:rsidRPr="00F40195">
                <w:rPr>
                  <w:rFonts w:cs="Times New Roman"/>
                  <w:b/>
                  <w:color w:val="FF0000"/>
                </w:rPr>
                <w:t>2014</w:t>
              </w:r>
              <w:r w:rsidR="00DC53BE" w:rsidRPr="00F40195">
                <w:rPr>
                  <w:rFonts w:cs="Times New Roman"/>
                  <w:b/>
                  <w:color w:val="FF0000"/>
                </w:rPr>
                <w:t>)</w:t>
              </w:r>
            </w:p>
            <w:p w:rsidR="00DC53BE" w:rsidRPr="00F40195" w:rsidRDefault="00DC53BE" w:rsidP="00F40195">
              <w:pPr>
                <w:spacing w:line="240" w:lineRule="auto"/>
                <w:jc w:val="right"/>
                <w:rPr>
                  <w:rFonts w:cs="Times New Roman"/>
                </w:rPr>
              </w:pPr>
            </w:p>
            <w:p w:rsidR="00DC53BE" w:rsidRPr="00F40195" w:rsidRDefault="00DC53BE" w:rsidP="00F40195">
              <w:pPr>
                <w:spacing w:line="240" w:lineRule="auto"/>
                <w:jc w:val="right"/>
                <w:rPr>
                  <w:rFonts w:cs="Times New Roman"/>
                </w:rPr>
              </w:pPr>
              <w:r w:rsidRPr="00F40195">
                <w:rPr>
                  <w:rFonts w:cs="Times New Roman"/>
                </w:rPr>
                <w:t>Michael Goetz</w:t>
              </w:r>
            </w:p>
            <w:p w:rsidR="00DC53BE" w:rsidRPr="00F40195" w:rsidRDefault="00DC53BE" w:rsidP="00F40195">
              <w:pPr>
                <w:spacing w:line="240" w:lineRule="auto"/>
                <w:jc w:val="right"/>
                <w:rPr>
                  <w:rFonts w:cs="Times New Roman"/>
                </w:rPr>
              </w:pPr>
              <w:r w:rsidRPr="00F40195">
                <w:rPr>
                  <w:rFonts w:cs="Times New Roman"/>
                </w:rPr>
                <w:t>Michael Griffith</w:t>
              </w:r>
            </w:p>
            <w:p w:rsidR="00DC53BE" w:rsidRPr="00F40195" w:rsidRDefault="00DC53BE" w:rsidP="00F40195">
              <w:pPr>
                <w:spacing w:line="240" w:lineRule="auto"/>
                <w:jc w:val="right"/>
                <w:rPr>
                  <w:rFonts w:cs="Times New Roman"/>
                </w:rPr>
              </w:pPr>
              <w:r w:rsidRPr="00F40195">
                <w:rPr>
                  <w:rFonts w:cs="Times New Roman"/>
                </w:rPr>
                <w:t>Allan Odden</w:t>
              </w:r>
            </w:p>
            <w:p w:rsidR="00DC53BE" w:rsidRPr="00F40195" w:rsidRDefault="00B0771A" w:rsidP="00F40195">
              <w:pPr>
                <w:spacing w:line="240" w:lineRule="auto"/>
                <w:jc w:val="right"/>
                <w:rPr>
                  <w:rFonts w:cs="Times New Roman"/>
                </w:rPr>
              </w:pPr>
              <w:r w:rsidRPr="00F40195">
                <w:rPr>
                  <w:rFonts w:cs="Times New Roman"/>
                </w:rPr>
                <w:t>Lawrence O.</w:t>
              </w:r>
              <w:r w:rsidR="00DC53BE" w:rsidRPr="00F40195">
                <w:rPr>
                  <w:rFonts w:cs="Times New Roman"/>
                </w:rPr>
                <w:t xml:space="preserve"> Picus</w:t>
              </w:r>
            </w:p>
            <w:p w:rsidR="00DC53BE" w:rsidRPr="00F40195" w:rsidRDefault="00DC53BE" w:rsidP="00F40195">
              <w:pPr>
                <w:spacing w:line="240" w:lineRule="auto"/>
                <w:jc w:val="right"/>
                <w:rPr>
                  <w:rFonts w:cs="Times New Roman"/>
                </w:rPr>
              </w:pPr>
              <w:r w:rsidRPr="00F40195">
                <w:rPr>
                  <w:rFonts w:cs="Times New Roman"/>
                </w:rPr>
                <w:t>Anabel Aportela</w:t>
              </w:r>
            </w:p>
            <w:p w:rsidR="00DC53BE" w:rsidRPr="00F40195" w:rsidRDefault="00DC53BE" w:rsidP="00F40195">
              <w:pPr>
                <w:spacing w:line="240" w:lineRule="auto"/>
                <w:jc w:val="right"/>
                <w:rPr>
                  <w:rFonts w:cs="Times New Roman"/>
                </w:rPr>
              </w:pPr>
              <w:r w:rsidRPr="00F40195">
                <w:rPr>
                  <w:rFonts w:cs="Times New Roman"/>
                </w:rPr>
                <w:t>Adriane Williams</w:t>
              </w:r>
            </w:p>
            <w:p w:rsidR="00DC53BE" w:rsidRPr="00F40195" w:rsidRDefault="007878FC" w:rsidP="00F40195">
              <w:pPr>
                <w:spacing w:line="240" w:lineRule="auto"/>
                <w:jc w:val="right"/>
                <w:rPr>
                  <w:rFonts w:cs="Times New Roman"/>
                </w:rPr>
              </w:pPr>
              <w:r>
                <w:rPr>
                  <w:rFonts w:cs="Times New Roman"/>
                  <w:noProof/>
                </w:rPr>
                <mc:AlternateContent>
                  <mc:Choice Requires="wps">
                    <w:drawing>
                      <wp:anchor distT="0" distB="0" distL="114300" distR="114300" simplePos="0" relativeHeight="251657728" behindDoc="0" locked="0" layoutInCell="1" allowOverlap="1">
                        <wp:simplePos x="0" y="0"/>
                        <wp:positionH relativeFrom="page">
                          <wp:posOffset>4114800</wp:posOffset>
                        </wp:positionH>
                        <wp:positionV relativeFrom="page">
                          <wp:posOffset>8572500</wp:posOffset>
                        </wp:positionV>
                        <wp:extent cx="2875280" cy="118745"/>
                        <wp:effectExtent l="0" t="0" r="63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324pt;margin-top:675pt;width:226.4pt;height:9.35pt;z-index:25165772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" fillcolor="#4f81bd [3204]" stroked="f" strokeweight="2pt">
                        <v:path arrowok="t"/>
                        <w10:wrap anchorx="page" anchory="page"/>
                      </v:rect>
                    </w:pict>
                  </mc:Fallback>
                </mc:AlternateContent>
              </w:r>
              <w:r>
                <w:rPr>
                  <w:rFonts w:cs="Times New Roman"/>
                  <w:noProof/>
                </w:rPr>
                <mc:AlternateContent>
                  <mc:Choice Requires="wps">
                    <w:drawing>
                      <wp:anchor distT="0" distB="0" distL="114300" distR="114300" simplePos="0" relativeHeight="251655680" behindDoc="0" locked="0" layoutInCell="1" allowOverlap="1">
                        <wp:simplePos x="0" y="0"/>
                        <wp:positionH relativeFrom="page">
                          <wp:posOffset>4114800</wp:posOffset>
                        </wp:positionH>
                        <wp:positionV relativeFrom="page">
                          <wp:posOffset>8001000</wp:posOffset>
                        </wp:positionV>
                        <wp:extent cx="2795270" cy="43243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432435"/>
                                </a:xfrm>
                                <a:prstGeom prst="rect">
                                  <a:avLst/>
                                </a:prstGeom>
                                <a:noFill/>
                                <a:ln w="6350">
                                  <a:noFill/>
                                </a:ln>
                                <a:effectLst/>
                              </wps:spPr>
                              <wps:txbx>
                                <w:txbxContent>
                                  <w:p w:rsidR="00C903BA" w:rsidRDefault="00803AF0" w:rsidP="00DC53BE">
                                    <w:pPr>
                                      <w:pStyle w:val="NoSpacing"/>
                                      <w:rPr>
                                        <w:noProof/>
                                        <w:color w:val="1F497D" w:themeColor="text2"/>
                                      </w:rPr>
                                    </w:pPr>
                                    <w:sdt>
                                      <w:sdtPr>
                                        <w:rPr>
                                          <w:noProof/>
                                          <w:color w:val="1F497D" w:themeColor="text2"/>
                                        </w:rPr>
                                        <w:alias w:val="Author"/>
                                        <w:id w:val="-890032480"/>
                                        <w:dataBinding w:prefixMappings="xmlns:ns0='http://schemas.openxmlformats.org/package/2006/metadata/core-properties' xmlns:ns1='http://purl.org/dc/elements/1.1/'" w:xpath="/ns0:coreProperties[1]/ns1:creator[1]" w:storeItemID="{6C3C8BC8-F283-45AE-878A-BAB7291924A1}"/>
                                        <w:text/>
                                      </w:sdtPr>
                                      <w:sdtEndPr/>
                                      <w:sdtContent>
                                        <w:r w:rsidR="00C903BA">
                                          <w:rPr>
                                            <w:noProof/>
                                            <w:color w:val="1F497D" w:themeColor="text2"/>
                                          </w:rPr>
                                          <w:t>Picus Odden &amp; Associates</w:t>
                                        </w:r>
                                      </w:sdtContent>
                                    </w:sdt>
                                  </w:p>
                                  <w:p w:rsidR="00C903BA" w:rsidRDefault="00C903BA" w:rsidP="00DC53BE">
                                    <w:pPr>
                                      <w:pStyle w:val="NoSpacing"/>
                                      <w:rPr>
                                        <w:noProof/>
                                        <w:color w:val="1F497D" w:themeColor="text2"/>
                                      </w:rPr>
                                    </w:pPr>
                                    <w:r>
                                      <w:rPr>
                                        <w:noProof/>
                                        <w:color w:val="1F497D" w:themeColor="text2"/>
                                      </w:rPr>
                                      <w:t>August, 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24pt;margin-top:630pt;width:220.1pt;height:34.05pt;z-index:25165568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" filled="f" stroked="f" strokeweight=".5pt">
                        <v:path arrowok="t"/>
                        <v:textbox style="mso-fit-shape-to-text:t">
                          <w:txbxContent>
                            <w:p w:rsidR="00C903BA" w:rsidRDefault="00C903BA" w:rsidP="00DC53BE">
                              <w:pPr>
                                <w:pStyle w:val="NoSpacing"/>
                                <w:rPr>
                                  <w:noProof/>
                                  <w:color w:val="1F497D" w:themeColor="text2"/>
                                </w:rPr>
                              </w:pPr>
                              <w:sdt>
                                <w:sdtPr>
                                  <w:rPr>
                                    <w:noProof/>
                                    <w:color w:val="1F497D" w:themeColor="text2"/>
                                  </w:rPr>
                                  <w:alias w:val="Author"/>
                                  <w:id w:val="-89003248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Picus Odden &amp; Associates</w:t>
                                  </w:r>
                                </w:sdtContent>
                              </w:sdt>
                            </w:p>
                            <w:p w:rsidR="00C903BA" w:rsidRDefault="00C903BA" w:rsidP="00DC53BE">
                              <w:pPr>
                                <w:pStyle w:val="NoSpacing"/>
                                <w:rPr>
                                  <w:noProof/>
                                  <w:color w:val="1F497D" w:themeColor="text2"/>
                                </w:rPr>
                              </w:pPr>
                              <w:r>
                                <w:rPr>
                                  <w:noProof/>
                                  <w:color w:val="1F497D" w:themeColor="text2"/>
                                </w:rPr>
                                <w:t>August, 2014</w:t>
                              </w:r>
                            </w:p>
                          </w:txbxContent>
                        </v:textbox>
                        <w10:wrap type="square" anchorx="page" anchory="page"/>
                      </v:shape>
                    </w:pict>
                  </mc:Fallback>
                </mc:AlternateContent>
              </w:r>
            </w:p>
            <w:p w:rsidR="00DC53BE" w:rsidRPr="00F40195" w:rsidRDefault="00DC53BE" w:rsidP="00F40195">
              <w:pPr>
                <w:spacing w:line="240" w:lineRule="auto"/>
                <w:jc w:val="right"/>
                <w:rPr>
                  <w:rFonts w:cs="Times New Roman"/>
                </w:rPr>
                <w:sectPr w:rsidR="00DC53BE" w:rsidRPr="00F40195" w:rsidSect="00CC79D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0"/>
                  <w:cols w:space="720"/>
                  <w:titlePg/>
                  <w:docGrid w:linePitch="360"/>
                </w:sectPr>
              </w:pPr>
            </w:p>
            <w:p w:rsidR="009D7259" w:rsidRPr="00F40195" w:rsidRDefault="009D7259" w:rsidP="00F40195">
              <w:pPr>
                <w:spacing w:line="240" w:lineRule="auto"/>
                <w:rPr>
                  <w:rFonts w:cs="Times New Roman"/>
                </w:rPr>
              </w:pPr>
              <w:r w:rsidRPr="00F40195">
                <w:rPr>
                  <w:rFonts w:cs="Times New Roman"/>
                </w:rPr>
                <w:lastRenderedPageBreak/>
                <w:br w:type="page"/>
              </w:r>
            </w:p>
            <w:p w:rsidR="00DC53BE" w:rsidRPr="00F40195" w:rsidRDefault="00DC53BE" w:rsidP="00F40195">
              <w:pPr>
                <w:spacing w:line="240" w:lineRule="auto"/>
                <w:rPr>
                  <w:rFonts w:cs="Times New Roman"/>
                </w:rPr>
              </w:pPr>
            </w:p>
            <w:p w:rsidR="00DC53BE" w:rsidRPr="00F40195" w:rsidRDefault="00DC53BE" w:rsidP="00F40195">
              <w:pPr>
                <w:spacing w:line="240" w:lineRule="auto"/>
                <w:rPr>
                  <w:rFonts w:cs="Times New Roman"/>
                </w:rPr>
              </w:pPr>
            </w:p>
            <w:p w:rsidR="00DC53BE" w:rsidRPr="00F40195" w:rsidRDefault="00DC53BE" w:rsidP="00F40195">
              <w:pPr>
                <w:spacing w:line="240" w:lineRule="auto"/>
                <w:jc w:val="center"/>
                <w:rPr>
                  <w:rFonts w:cs="Times New Roman"/>
                  <w:b/>
                  <w:bCs/>
                  <w:smallCaps/>
                  <w:sz w:val="40"/>
                  <w:szCs w:val="40"/>
                </w:rPr>
              </w:pPr>
              <w:r w:rsidRPr="00F40195">
                <w:rPr>
                  <w:rFonts w:cs="Times New Roman"/>
                  <w:b/>
                  <w:bCs/>
                  <w:smallCaps/>
                  <w:sz w:val="40"/>
                  <w:szCs w:val="40"/>
                </w:rPr>
                <w:t xml:space="preserve">Adequacy for Excellence  </w:t>
              </w:r>
            </w:p>
            <w:p w:rsidR="00DC53BE" w:rsidRPr="00F40195" w:rsidRDefault="00902897" w:rsidP="00F40195">
              <w:pPr>
                <w:spacing w:line="240" w:lineRule="auto"/>
                <w:jc w:val="center"/>
                <w:rPr>
                  <w:rFonts w:cs="Times New Roman"/>
                  <w:b/>
                  <w:bCs/>
                  <w:smallCaps/>
                  <w:sz w:val="30"/>
                  <w:szCs w:val="30"/>
                </w:rPr>
              </w:pPr>
              <w:r>
                <w:rPr>
                  <w:rFonts w:cs="Times New Roman"/>
                  <w:b/>
                  <w:bCs/>
                  <w:smallCaps/>
                  <w:sz w:val="30"/>
                  <w:szCs w:val="30"/>
                </w:rPr>
                <w:t xml:space="preserve">Advisory </w:t>
              </w:r>
              <w:r w:rsidR="00DC53BE" w:rsidRPr="00F40195">
                <w:rPr>
                  <w:rFonts w:cs="Times New Roman"/>
                  <w:b/>
                  <w:bCs/>
                  <w:smallCaps/>
                  <w:sz w:val="30"/>
                  <w:szCs w:val="30"/>
                </w:rPr>
                <w:t xml:space="preserve">Committee Members  </w:t>
              </w:r>
            </w:p>
            <w:p w:rsidR="00DC53BE" w:rsidRPr="00F40195" w:rsidRDefault="00DC53BE" w:rsidP="00F40195">
              <w:pPr>
                <w:spacing w:line="240" w:lineRule="auto"/>
                <w:jc w:val="center"/>
                <w:rPr>
                  <w:rFonts w:cs="Times New Roman"/>
                </w:rPr>
              </w:pPr>
            </w:p>
            <w:p w:rsidR="00DC53BE" w:rsidRPr="00004621" w:rsidRDefault="00DC53BE" w:rsidP="00F40195">
              <w:pPr>
                <w:spacing w:line="240" w:lineRule="auto"/>
                <w:rPr>
                  <w:rFonts w:cs="Times New Roman"/>
                  <w:b/>
                  <w:bCs/>
                </w:rPr>
              </w:pPr>
              <w:r w:rsidRPr="00F40195">
                <w:rPr>
                  <w:rFonts w:cs="Times New Roman"/>
                  <w:b/>
                  <w:bCs/>
                </w:rPr>
                <w:t>The following report was dev</w:t>
              </w:r>
              <w:r w:rsidR="00004621">
                <w:rPr>
                  <w:rFonts w:cs="Times New Roman"/>
                  <w:b/>
                  <w:bCs/>
                </w:rPr>
                <w:t xml:space="preserve">eloped in cooperation with </w:t>
              </w:r>
              <w:r w:rsidR="00D9750A" w:rsidRPr="00F40195">
                <w:rPr>
                  <w:rFonts w:cs="Times New Roman"/>
                  <w:b/>
                  <w:bCs/>
                </w:rPr>
                <w:t>a 15</w:t>
              </w:r>
              <w:r w:rsidRPr="00F40195">
                <w:rPr>
                  <w:rFonts w:cs="Times New Roman"/>
                  <w:b/>
                  <w:bCs/>
                </w:rPr>
                <w:t xml:space="preserve"> member Advisory Committee, representing various </w:t>
              </w:r>
              <w:r w:rsidR="009122EB" w:rsidRPr="00F40195">
                <w:rPr>
                  <w:rFonts w:cs="Times New Roman"/>
                  <w:b/>
                  <w:bCs/>
                </w:rPr>
                <w:t>Kentucky</w:t>
              </w:r>
              <w:r w:rsidR="00004621">
                <w:rPr>
                  <w:rFonts w:cs="Times New Roman"/>
                  <w:b/>
                  <w:bCs/>
                </w:rPr>
                <w:t xml:space="preserve"> stakeholder</w:t>
              </w:r>
              <w:r w:rsidRPr="00F40195">
                <w:rPr>
                  <w:rFonts w:cs="Times New Roman"/>
                  <w:b/>
                  <w:bCs/>
                </w:rPr>
                <w:t>s</w:t>
              </w:r>
              <w:r w:rsidR="009739FE" w:rsidRPr="00F40195">
                <w:rPr>
                  <w:rFonts w:cs="Times New Roman"/>
                  <w:b/>
                  <w:bCs/>
                </w:rPr>
                <w:t xml:space="preserve">. </w:t>
              </w:r>
              <w:r w:rsidRPr="00F40195">
                <w:rPr>
                  <w:rFonts w:cs="Times New Roman"/>
                  <w:b/>
                  <w:bCs/>
                </w:rPr>
                <w:t xml:space="preserve"> </w:t>
              </w:r>
            </w:p>
            <w:p w:rsidR="00F1753B" w:rsidRPr="00F40195" w:rsidRDefault="00F1753B" w:rsidP="00F40195">
              <w:pPr>
                <w:spacing w:line="240" w:lineRule="auto"/>
                <w:rPr>
                  <w:rFonts w:cs="Times New Roman"/>
                  <w:noProof/>
                </w:rPr>
              </w:pPr>
            </w:p>
            <w:p w:rsidR="00DC53BE" w:rsidRPr="00F40195" w:rsidRDefault="00DC53BE" w:rsidP="00057F1D">
              <w:pPr>
                <w:spacing w:line="360" w:lineRule="auto"/>
                <w:rPr>
                  <w:rFonts w:cs="Times New Roman"/>
                  <w:noProof/>
                </w:rPr>
              </w:pPr>
              <w:r w:rsidRPr="00F40195">
                <w:rPr>
                  <w:rFonts w:cs="Times New Roman"/>
                  <w:b/>
                  <w:noProof/>
                </w:rPr>
                <w:t>Justin Bathon</w:t>
              </w:r>
              <w:r w:rsidRPr="00F40195">
                <w:rPr>
                  <w:rFonts w:cs="Times New Roman"/>
                  <w:noProof/>
                </w:rPr>
                <w:t>, Assistant Professor, University of Kentucky</w:t>
              </w:r>
            </w:p>
            <w:p w:rsidR="00DC53BE" w:rsidRPr="00F40195" w:rsidRDefault="00B0771A" w:rsidP="00057F1D">
              <w:pPr>
                <w:spacing w:line="360" w:lineRule="auto"/>
                <w:rPr>
                  <w:rFonts w:cs="Times New Roman"/>
                  <w:noProof/>
                </w:rPr>
              </w:pPr>
              <w:r w:rsidRPr="00F40195">
                <w:rPr>
                  <w:rFonts w:cs="Times New Roman"/>
                  <w:b/>
                  <w:noProof/>
                </w:rPr>
                <w:t>Robyn Baxter</w:t>
              </w:r>
              <w:r w:rsidRPr="00F40195">
                <w:rPr>
                  <w:rFonts w:cs="Times New Roman"/>
                  <w:noProof/>
                </w:rPr>
                <w:t xml:space="preserve">, </w:t>
              </w:r>
              <w:r w:rsidR="00565E46" w:rsidRPr="00F40195">
                <w:rPr>
                  <w:rFonts w:cs="Times New Roman"/>
                  <w:noProof/>
                </w:rPr>
                <w:t>KY Department of Education</w:t>
              </w:r>
            </w:p>
            <w:p w:rsidR="00DC383A" w:rsidRPr="00F40195" w:rsidRDefault="00DC383A" w:rsidP="00057F1D">
              <w:pPr>
                <w:spacing w:line="360" w:lineRule="auto"/>
                <w:rPr>
                  <w:rFonts w:cs="Times New Roman"/>
                </w:rPr>
              </w:pPr>
              <w:r w:rsidRPr="00F40195">
                <w:rPr>
                  <w:rFonts w:cs="Times New Roman"/>
                  <w:b/>
                </w:rPr>
                <w:t>Andrew Brennan</w:t>
              </w:r>
              <w:r w:rsidRPr="00F40195">
                <w:rPr>
                  <w:rFonts w:cs="Times New Roman"/>
                </w:rPr>
                <w:t>, Senior, PL Dunbar High School</w:t>
              </w:r>
            </w:p>
            <w:p w:rsidR="00304763" w:rsidRPr="00F40195" w:rsidRDefault="00304763" w:rsidP="00057F1D">
              <w:pPr>
                <w:spacing w:line="360" w:lineRule="auto"/>
                <w:rPr>
                  <w:rFonts w:cs="Times New Roman"/>
                </w:rPr>
              </w:pPr>
              <w:r w:rsidRPr="00F40195">
                <w:rPr>
                  <w:rFonts w:cs="Times New Roman"/>
                  <w:b/>
                </w:rPr>
                <w:t>Michael Dailey</w:t>
              </w:r>
              <w:r w:rsidRPr="00F40195">
                <w:rPr>
                  <w:rFonts w:cs="Times New Roman"/>
                </w:rPr>
                <w:t>, Associate Director for Student Achievement, Fayette County Public Schools</w:t>
              </w:r>
            </w:p>
            <w:p w:rsidR="00DC383A" w:rsidRPr="00F40195" w:rsidRDefault="00DC383A" w:rsidP="00057F1D">
              <w:pPr>
                <w:spacing w:line="360" w:lineRule="auto"/>
                <w:rPr>
                  <w:rFonts w:cs="Times New Roman"/>
                </w:rPr>
              </w:pPr>
              <w:r w:rsidRPr="00F40195">
                <w:rPr>
                  <w:rFonts w:cs="Times New Roman"/>
                  <w:b/>
                </w:rPr>
                <w:t>Representative Kelly Flood,</w:t>
              </w:r>
              <w:r w:rsidRPr="00F40195">
                <w:rPr>
                  <w:rFonts w:cs="Times New Roman"/>
                </w:rPr>
                <w:t xml:space="preserve"> House District 75, Fayette</w:t>
              </w:r>
            </w:p>
            <w:p w:rsidR="00DC383A" w:rsidRPr="00F40195" w:rsidRDefault="00DC383A" w:rsidP="00057F1D">
              <w:pPr>
                <w:spacing w:line="360" w:lineRule="auto"/>
                <w:rPr>
                  <w:rFonts w:eastAsia="Times New Roman" w:cs="Times New Roman"/>
                </w:rPr>
              </w:pPr>
              <w:r w:rsidRPr="00F40195">
                <w:rPr>
                  <w:rFonts w:eastAsia="Times New Roman" w:cs="Times New Roman"/>
                  <w:b/>
                </w:rPr>
                <w:t xml:space="preserve">Blake Haselton, </w:t>
              </w:r>
              <w:r w:rsidRPr="00F40195">
                <w:rPr>
                  <w:rFonts w:eastAsia="Times New Roman" w:cs="Times New Roman"/>
                </w:rPr>
                <w:t>Dean of School of Education and Human Development, U of Louisville</w:t>
              </w:r>
            </w:p>
            <w:p w:rsidR="00BB4E75" w:rsidRPr="00F40195" w:rsidRDefault="00BB4E75" w:rsidP="00057F1D">
              <w:pPr>
                <w:spacing w:line="360" w:lineRule="auto"/>
                <w:rPr>
                  <w:rFonts w:eastAsia="Times New Roman" w:cs="Times New Roman"/>
                </w:rPr>
              </w:pPr>
              <w:r w:rsidRPr="00F40195">
                <w:rPr>
                  <w:rFonts w:cs="Times New Roman"/>
                  <w:b/>
                  <w:bCs/>
                </w:rPr>
                <w:t>James Hodge</w:t>
              </w:r>
              <w:r w:rsidR="009D7747" w:rsidRPr="00F40195">
                <w:rPr>
                  <w:rFonts w:cs="Times New Roman"/>
                  <w:bCs/>
                </w:rPr>
                <w:t xml:space="preserve">, </w:t>
              </w:r>
              <w:r w:rsidRPr="00F40195">
                <w:rPr>
                  <w:rFonts w:cs="Times New Roman"/>
                  <w:bCs/>
                </w:rPr>
                <w:t>Lexington Traditional Middle School (LTMS), Fayette County</w:t>
              </w:r>
            </w:p>
            <w:p w:rsidR="00926F36" w:rsidRPr="00F40195" w:rsidRDefault="00926F36" w:rsidP="00057F1D">
              <w:pPr>
                <w:spacing w:line="360" w:lineRule="auto"/>
                <w:rPr>
                  <w:rFonts w:cs="Times New Roman"/>
                </w:rPr>
              </w:pPr>
              <w:r w:rsidRPr="00F40195">
                <w:rPr>
                  <w:rFonts w:cs="Times New Roman"/>
                  <w:b/>
                </w:rPr>
                <w:t>Mary Minyard</w:t>
              </w:r>
              <w:r w:rsidRPr="00F40195">
                <w:rPr>
                  <w:rFonts w:cs="Times New Roman"/>
                </w:rPr>
                <w:t>, Principal, Young Elementary School, Jefferson County School District</w:t>
              </w:r>
            </w:p>
            <w:p w:rsidR="00926F36" w:rsidRPr="00F40195" w:rsidRDefault="00926F36" w:rsidP="00057F1D">
              <w:pPr>
                <w:spacing w:line="360" w:lineRule="auto"/>
                <w:rPr>
                  <w:rStyle w:val="position4"/>
                  <w:rFonts w:cs="Times New Roman"/>
                  <w:color w:val="111011"/>
                </w:rPr>
              </w:pPr>
              <w:r w:rsidRPr="00F40195">
                <w:rPr>
                  <w:rStyle w:val="name4"/>
                  <w:rFonts w:cs="Times New Roman"/>
                  <w:b/>
                  <w:color w:val="111011"/>
                </w:rPr>
                <w:t>Leon Mooneyhan</w:t>
              </w:r>
              <w:r w:rsidRPr="00F40195">
                <w:rPr>
                  <w:rStyle w:val="name4"/>
                  <w:rFonts w:cs="Times New Roman"/>
                  <w:color w:val="111011"/>
                </w:rPr>
                <w:t xml:space="preserve">, </w:t>
              </w:r>
              <w:r w:rsidRPr="00F40195">
                <w:rPr>
                  <w:rStyle w:val="position4"/>
                  <w:rFonts w:cs="Times New Roman"/>
                  <w:color w:val="111011"/>
                </w:rPr>
                <w:t>Chief Executive Officer, OVEC</w:t>
              </w:r>
            </w:p>
            <w:p w:rsidR="00926F36" w:rsidRPr="00F40195" w:rsidRDefault="00926F36" w:rsidP="00057F1D">
              <w:pPr>
                <w:spacing w:line="360" w:lineRule="auto"/>
                <w:rPr>
                  <w:rFonts w:cs="Times New Roman"/>
                  <w:noProof/>
                </w:rPr>
              </w:pPr>
              <w:r w:rsidRPr="00F40195">
                <w:rPr>
                  <w:rFonts w:cs="Times New Roman"/>
                  <w:b/>
                </w:rPr>
                <w:t>Randy Poe</w:t>
              </w:r>
              <w:r w:rsidRPr="00F40195">
                <w:rPr>
                  <w:rFonts w:cs="Times New Roman"/>
                </w:rPr>
                <w:t>, Superintendent, Boone County School District</w:t>
              </w:r>
            </w:p>
            <w:p w:rsidR="00926F36" w:rsidRPr="00F40195" w:rsidRDefault="00DC383A" w:rsidP="00057F1D">
              <w:pPr>
                <w:spacing w:line="360" w:lineRule="auto"/>
                <w:rPr>
                  <w:rFonts w:cs="Times New Roman"/>
                </w:rPr>
              </w:pPr>
              <w:r w:rsidRPr="00F40195">
                <w:rPr>
                  <w:rFonts w:cs="Times New Roman"/>
                  <w:b/>
                </w:rPr>
                <w:t>Tom Richey</w:t>
              </w:r>
              <w:r w:rsidRPr="00F40195">
                <w:rPr>
                  <w:rFonts w:cs="Times New Roman"/>
                </w:rPr>
                <w:t>, Superintendent, Henderson County School District</w:t>
              </w:r>
            </w:p>
            <w:p w:rsidR="006934CE" w:rsidRPr="00F40195" w:rsidRDefault="00926F36" w:rsidP="00057F1D">
              <w:pPr>
                <w:spacing w:line="360" w:lineRule="auto"/>
                <w:rPr>
                  <w:rFonts w:cs="Times New Roman"/>
                </w:rPr>
              </w:pPr>
              <w:r w:rsidRPr="00F40195">
                <w:rPr>
                  <w:rFonts w:cs="Times New Roman"/>
                  <w:b/>
                </w:rPr>
                <w:t>Matt Robbins</w:t>
              </w:r>
              <w:r w:rsidRPr="00F40195">
                <w:rPr>
                  <w:rFonts w:cs="Times New Roman"/>
                </w:rPr>
                <w:t>, Daviess County Pu</w:t>
              </w:r>
              <w:r w:rsidR="00746CDE" w:rsidRPr="00F40195">
                <w:rPr>
                  <w:rFonts w:cs="Times New Roman"/>
                </w:rPr>
                <w:t>blic School D</w:t>
              </w:r>
              <w:r w:rsidRPr="00F40195">
                <w:rPr>
                  <w:rFonts w:cs="Times New Roman"/>
                </w:rPr>
                <w:t xml:space="preserve">istrict’s Asst. Sup of Business and Operations  </w:t>
              </w:r>
            </w:p>
            <w:p w:rsidR="00FA1DF2" w:rsidRPr="00F40195" w:rsidRDefault="00FA1DF2" w:rsidP="00057F1D">
              <w:pPr>
                <w:spacing w:line="360" w:lineRule="auto"/>
                <w:rPr>
                  <w:rFonts w:cs="Times New Roman"/>
                </w:rPr>
              </w:pPr>
              <w:r w:rsidRPr="00F40195">
                <w:rPr>
                  <w:rFonts w:cs="Times New Roman"/>
                  <w:b/>
                </w:rPr>
                <w:t>Jack Rose</w:t>
              </w:r>
              <w:r w:rsidRPr="00F40195">
                <w:rPr>
                  <w:rFonts w:cs="Times New Roman"/>
                </w:rPr>
                <w:t>, Professor, Department of Educational Studies, Murray State University</w:t>
              </w:r>
            </w:p>
            <w:p w:rsidR="00876881" w:rsidRPr="00F40195" w:rsidRDefault="00876881" w:rsidP="00057F1D">
              <w:pPr>
                <w:spacing w:line="360" w:lineRule="auto"/>
                <w:rPr>
                  <w:rFonts w:eastAsia="Times New Roman" w:cs="Times New Roman"/>
                </w:rPr>
              </w:pPr>
              <w:r w:rsidRPr="00F40195">
                <w:rPr>
                  <w:rFonts w:eastAsia="Times New Roman" w:cs="Times New Roman"/>
                  <w:b/>
                </w:rPr>
                <w:t xml:space="preserve">Joanna Howerton Stevens, </w:t>
              </w:r>
              <w:r w:rsidRPr="00F40195">
                <w:rPr>
                  <w:rFonts w:eastAsia="Times New Roman" w:cs="Times New Roman"/>
                </w:rPr>
                <w:t xml:space="preserve">Mathematics Lead Teacher, Lincoln County High School </w:t>
              </w:r>
            </w:p>
            <w:p w:rsidR="006934CE" w:rsidRPr="00F40195" w:rsidRDefault="00291F23" w:rsidP="00057F1D">
              <w:pPr>
                <w:spacing w:line="360" w:lineRule="auto"/>
                <w:rPr>
                  <w:rFonts w:cs="Times New Roman"/>
                </w:rPr>
              </w:pPr>
              <w:r w:rsidRPr="00F40195">
                <w:rPr>
                  <w:rFonts w:cs="Times New Roman"/>
                  <w:b/>
                </w:rPr>
                <w:t>Henry Webb</w:t>
              </w:r>
              <w:r w:rsidRPr="00F40195">
                <w:rPr>
                  <w:rFonts w:cs="Times New Roman"/>
                </w:rPr>
                <w:t>, Superintendent of Floyd County Schools</w:t>
              </w:r>
            </w:p>
            <w:p w:rsidR="006934CE" w:rsidRPr="00F40195" w:rsidRDefault="006934CE" w:rsidP="00F40195">
              <w:pPr>
                <w:spacing w:line="240" w:lineRule="auto"/>
                <w:rPr>
                  <w:rFonts w:cs="Times New Roman"/>
                </w:rPr>
              </w:pPr>
            </w:p>
            <w:p w:rsidR="006934CE" w:rsidRPr="00F40195" w:rsidRDefault="006934CE" w:rsidP="00F40195">
              <w:pPr>
                <w:spacing w:line="240" w:lineRule="auto"/>
                <w:rPr>
                  <w:rFonts w:cs="Times New Roman"/>
                </w:rPr>
              </w:pPr>
            </w:p>
            <w:p w:rsidR="006934CE" w:rsidRPr="00F40195" w:rsidRDefault="006934CE" w:rsidP="00F40195">
              <w:pPr>
                <w:spacing w:line="240" w:lineRule="auto"/>
                <w:rPr>
                  <w:rFonts w:cs="Times New Roman"/>
                </w:rPr>
              </w:pPr>
            </w:p>
            <w:p w:rsidR="006934CE" w:rsidRPr="00F40195" w:rsidRDefault="006934CE" w:rsidP="00F40195">
              <w:pPr>
                <w:spacing w:line="240" w:lineRule="auto"/>
                <w:rPr>
                  <w:rFonts w:cs="Times New Roman"/>
                </w:rPr>
              </w:pPr>
            </w:p>
            <w:p w:rsidR="00F46017" w:rsidRPr="00F40195" w:rsidRDefault="009122EB" w:rsidP="00F40195">
              <w:pPr>
                <w:spacing w:line="240" w:lineRule="auto"/>
                <w:rPr>
                  <w:rFonts w:eastAsia="Times New Roman" w:cs="Times New Roman"/>
                </w:rPr>
                <w:sectPr w:rsidR="00F46017" w:rsidRPr="00F40195" w:rsidSect="00CC79D7">
                  <w:footerReference w:type="even" r:id="rId16"/>
                  <w:footerReference w:type="default" r:id="rId17"/>
                  <w:footerReference w:type="first" r:id="rId18"/>
                  <w:type w:val="continuous"/>
                  <w:pgSz w:w="12240" w:h="15840" w:code="1"/>
                  <w:pgMar w:top="1440" w:right="1440" w:bottom="1440" w:left="1440" w:header="720" w:footer="720" w:gutter="0"/>
                  <w:pgNumType w:start="0"/>
                  <w:cols w:space="720"/>
                  <w:docGrid w:linePitch="360"/>
                </w:sectPr>
              </w:pPr>
              <w:r w:rsidRPr="00F40195">
                <w:rPr>
                  <w:rFonts w:cs="Times New Roman"/>
                  <w:noProof/>
                </w:rPr>
                <w:br w:type="page"/>
              </w:r>
            </w:p>
          </w:sdtContent>
        </w:sdt>
        <w:p w:rsidR="00F46017" w:rsidRPr="00F40195" w:rsidRDefault="00F46017" w:rsidP="00F40195">
          <w:pPr>
            <w:spacing w:line="240" w:lineRule="auto"/>
            <w:rPr>
              <w:rFonts w:cs="Times New Roman"/>
            </w:rPr>
          </w:pPr>
        </w:p>
        <w:p w:rsidR="00086464" w:rsidRPr="00F40195" w:rsidRDefault="00803AF0" w:rsidP="00F40195">
          <w:pPr>
            <w:spacing w:line="240" w:lineRule="auto"/>
            <w:jc w:val="center"/>
            <w:rPr>
              <w:rFonts w:eastAsiaTheme="majorEastAsia" w:cs="Times New Roman"/>
              <w:b/>
              <w:bCs/>
              <w:color w:val="365F91" w:themeColor="accent1" w:themeShade="BF"/>
              <w:sz w:val="28"/>
              <w:szCs w:val="28"/>
              <w:lang w:eastAsia="ja-JP"/>
            </w:rPr>
          </w:pPr>
        </w:p>
      </w:sdtContent>
    </w:sdt>
    <w:bookmarkStart w:id="0" w:name="_Toc225611225" w:displacedByCustomXml="next"/>
    <w:bookmarkStart w:id="1" w:name="_Toc223943551" w:displacedByCustomXml="next"/>
    <w:sdt>
      <w:sdtPr>
        <w:rPr>
          <w:rFonts w:ascii="Times New Roman" w:eastAsiaTheme="minorHAnsi" w:hAnsi="Times New Roman" w:cstheme="minorBidi"/>
          <w:b w:val="0"/>
          <w:bCs w:val="0"/>
          <w:color w:val="auto"/>
          <w:sz w:val="24"/>
          <w:szCs w:val="22"/>
          <w:lang w:eastAsia="en-US"/>
        </w:rPr>
        <w:id w:val="-32274342"/>
        <w:docPartObj>
          <w:docPartGallery w:val="Table of Contents"/>
          <w:docPartUnique/>
        </w:docPartObj>
      </w:sdtPr>
      <w:sdtEndPr>
        <w:rPr>
          <w:rFonts w:cs="Times New Roman"/>
          <w:noProof/>
        </w:rPr>
      </w:sdtEndPr>
      <w:sdtContent>
        <w:p w:rsidR="009122EB" w:rsidRPr="00F40195" w:rsidRDefault="009122EB" w:rsidP="007162A8">
          <w:pPr>
            <w:pStyle w:val="TOCHeading"/>
          </w:pPr>
          <w:r w:rsidRPr="00F40195">
            <w:t>Contents</w:t>
          </w:r>
        </w:p>
        <w:p w:rsidR="00090DBD" w:rsidRDefault="0071433F">
          <w:pPr>
            <w:pStyle w:val="TOC1"/>
            <w:rPr>
              <w:rFonts w:asciiTheme="minorHAnsi" w:eastAsiaTheme="minorEastAsia" w:hAnsiTheme="minorHAnsi"/>
              <w:noProof/>
              <w:sz w:val="22"/>
            </w:rPr>
          </w:pPr>
          <w:r w:rsidRPr="00F40195">
            <w:rPr>
              <w:rFonts w:cs="Times New Roman"/>
            </w:rPr>
            <w:fldChar w:fldCharType="begin"/>
          </w:r>
          <w:r w:rsidR="009122EB" w:rsidRPr="00F40195">
            <w:rPr>
              <w:rFonts w:cs="Times New Roman"/>
            </w:rPr>
            <w:instrText xml:space="preserve"> TOC \o "1-3" \h \z \u </w:instrText>
          </w:r>
          <w:r w:rsidRPr="00F40195">
            <w:rPr>
              <w:rFonts w:cs="Times New Roman"/>
            </w:rPr>
            <w:fldChar w:fldCharType="separate"/>
          </w:r>
          <w:hyperlink w:anchor="_Toc395180635" w:history="1">
            <w:r w:rsidR="00090DBD" w:rsidRPr="006E09EA">
              <w:rPr>
                <w:rStyle w:val="Hyperlink"/>
                <w:noProof/>
              </w:rPr>
              <w:t>Executive Summary</w:t>
            </w:r>
            <w:r w:rsidR="00090DBD">
              <w:rPr>
                <w:noProof/>
                <w:webHidden/>
              </w:rPr>
              <w:tab/>
            </w:r>
            <w:r>
              <w:rPr>
                <w:noProof/>
                <w:webHidden/>
              </w:rPr>
              <w:fldChar w:fldCharType="begin"/>
            </w:r>
            <w:r w:rsidR="00090DBD">
              <w:rPr>
                <w:noProof/>
                <w:webHidden/>
              </w:rPr>
              <w:instrText xml:space="preserve"> PAGEREF _Toc395180635 \h </w:instrText>
            </w:r>
            <w:r>
              <w:rPr>
                <w:noProof/>
                <w:webHidden/>
              </w:rPr>
            </w:r>
            <w:r>
              <w:rPr>
                <w:noProof/>
                <w:webHidden/>
              </w:rPr>
              <w:fldChar w:fldCharType="separate"/>
            </w:r>
            <w:r w:rsidR="009E20FE">
              <w:rPr>
                <w:noProof/>
                <w:webHidden/>
              </w:rPr>
              <w:t>6</w:t>
            </w:r>
            <w:r>
              <w:rPr>
                <w:noProof/>
                <w:webHidden/>
              </w:rPr>
              <w:fldChar w:fldCharType="end"/>
            </w:r>
          </w:hyperlink>
        </w:p>
        <w:p w:rsidR="00090DBD" w:rsidRDefault="00803AF0">
          <w:pPr>
            <w:pStyle w:val="TOC3"/>
            <w:rPr>
              <w:rFonts w:asciiTheme="minorHAnsi" w:eastAsiaTheme="minorEastAsia" w:hAnsiTheme="minorHAnsi"/>
              <w:noProof/>
              <w:sz w:val="22"/>
            </w:rPr>
          </w:pPr>
          <w:hyperlink w:anchor="_Toc395180636" w:history="1">
            <w:r w:rsidR="00090DBD" w:rsidRPr="006E09EA">
              <w:rPr>
                <w:rStyle w:val="Hyperlink"/>
                <w:noProof/>
              </w:rPr>
              <w:t>Comparison with Other States</w:t>
            </w:r>
            <w:r w:rsidR="00090DBD">
              <w:rPr>
                <w:noProof/>
                <w:webHidden/>
              </w:rPr>
              <w:tab/>
            </w:r>
            <w:r w:rsidR="0071433F">
              <w:rPr>
                <w:noProof/>
                <w:webHidden/>
              </w:rPr>
              <w:fldChar w:fldCharType="begin"/>
            </w:r>
            <w:r w:rsidR="00090DBD">
              <w:rPr>
                <w:noProof/>
                <w:webHidden/>
              </w:rPr>
              <w:instrText xml:space="preserve"> PAGEREF _Toc395180636 \h </w:instrText>
            </w:r>
            <w:r w:rsidR="0071433F">
              <w:rPr>
                <w:noProof/>
                <w:webHidden/>
              </w:rPr>
            </w:r>
            <w:r w:rsidR="0071433F">
              <w:rPr>
                <w:noProof/>
                <w:webHidden/>
              </w:rPr>
              <w:fldChar w:fldCharType="separate"/>
            </w:r>
            <w:r w:rsidR="009E20FE">
              <w:rPr>
                <w:noProof/>
                <w:webHidden/>
              </w:rPr>
              <w:t>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37" w:history="1">
            <w:r w:rsidR="00090DBD" w:rsidRPr="006E09EA">
              <w:rPr>
                <w:rStyle w:val="Hyperlink"/>
                <w:noProof/>
              </w:rPr>
              <w:t>An Evidence Based Adequacy Model</w:t>
            </w:r>
            <w:r w:rsidR="00090DBD">
              <w:rPr>
                <w:noProof/>
                <w:webHidden/>
              </w:rPr>
              <w:tab/>
            </w:r>
            <w:r w:rsidR="0071433F">
              <w:rPr>
                <w:noProof/>
                <w:webHidden/>
              </w:rPr>
              <w:fldChar w:fldCharType="begin"/>
            </w:r>
            <w:r w:rsidR="00090DBD">
              <w:rPr>
                <w:noProof/>
                <w:webHidden/>
              </w:rPr>
              <w:instrText xml:space="preserve"> PAGEREF _Toc395180637 \h </w:instrText>
            </w:r>
            <w:r w:rsidR="0071433F">
              <w:rPr>
                <w:noProof/>
                <w:webHidden/>
              </w:rPr>
            </w:r>
            <w:r w:rsidR="0071433F">
              <w:rPr>
                <w:noProof/>
                <w:webHidden/>
              </w:rPr>
              <w:fldChar w:fldCharType="separate"/>
            </w:r>
            <w:r w:rsidR="009E20FE">
              <w:rPr>
                <w:noProof/>
                <w:webHidden/>
              </w:rPr>
              <w:t>9</w:t>
            </w:r>
            <w:r w:rsidR="0071433F">
              <w:rPr>
                <w:noProof/>
                <w:webHidden/>
              </w:rPr>
              <w:fldChar w:fldCharType="end"/>
            </w:r>
          </w:hyperlink>
        </w:p>
        <w:p w:rsidR="00090DBD" w:rsidRDefault="00803AF0">
          <w:pPr>
            <w:pStyle w:val="TOC1"/>
            <w:rPr>
              <w:rFonts w:asciiTheme="minorHAnsi" w:eastAsiaTheme="minorEastAsia" w:hAnsiTheme="minorHAnsi"/>
              <w:noProof/>
              <w:sz w:val="22"/>
            </w:rPr>
          </w:pPr>
          <w:hyperlink w:anchor="_Toc395180638" w:history="1">
            <w:r w:rsidR="00090DBD" w:rsidRPr="006E09EA">
              <w:rPr>
                <w:rStyle w:val="Hyperlink"/>
                <w:noProof/>
              </w:rPr>
              <w:t>Chapter 1: Introduction</w:t>
            </w:r>
            <w:r w:rsidR="00090DBD">
              <w:rPr>
                <w:noProof/>
                <w:webHidden/>
              </w:rPr>
              <w:tab/>
            </w:r>
            <w:r w:rsidR="0071433F">
              <w:rPr>
                <w:noProof/>
                <w:webHidden/>
              </w:rPr>
              <w:fldChar w:fldCharType="begin"/>
            </w:r>
            <w:r w:rsidR="00090DBD">
              <w:rPr>
                <w:noProof/>
                <w:webHidden/>
              </w:rPr>
              <w:instrText xml:space="preserve"> PAGEREF _Toc395180638 \h </w:instrText>
            </w:r>
            <w:r w:rsidR="0071433F">
              <w:rPr>
                <w:noProof/>
                <w:webHidden/>
              </w:rPr>
            </w:r>
            <w:r w:rsidR="0071433F">
              <w:rPr>
                <w:noProof/>
                <w:webHidden/>
              </w:rPr>
              <w:fldChar w:fldCharType="separate"/>
            </w:r>
            <w:r w:rsidR="009E20FE">
              <w:rPr>
                <w:noProof/>
                <w:webHidden/>
              </w:rPr>
              <w:t>11</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39" w:history="1">
            <w:r w:rsidR="00090DBD" w:rsidRPr="006E09EA">
              <w:rPr>
                <w:rStyle w:val="Hyperlink"/>
                <w:noProof/>
              </w:rPr>
              <w:t>Purpose and overview of study</w:t>
            </w:r>
            <w:r w:rsidR="00090DBD">
              <w:rPr>
                <w:noProof/>
                <w:webHidden/>
              </w:rPr>
              <w:tab/>
            </w:r>
            <w:r w:rsidR="0071433F">
              <w:rPr>
                <w:noProof/>
                <w:webHidden/>
              </w:rPr>
              <w:fldChar w:fldCharType="begin"/>
            </w:r>
            <w:r w:rsidR="00090DBD">
              <w:rPr>
                <w:noProof/>
                <w:webHidden/>
              </w:rPr>
              <w:instrText xml:space="preserve"> PAGEREF _Toc395180639 \h </w:instrText>
            </w:r>
            <w:r w:rsidR="0071433F">
              <w:rPr>
                <w:noProof/>
                <w:webHidden/>
              </w:rPr>
            </w:r>
            <w:r w:rsidR="0071433F">
              <w:rPr>
                <w:noProof/>
                <w:webHidden/>
              </w:rPr>
              <w:fldChar w:fldCharType="separate"/>
            </w:r>
            <w:r w:rsidR="009E20FE">
              <w:rPr>
                <w:noProof/>
                <w:webHidden/>
              </w:rPr>
              <w:t>11</w:t>
            </w:r>
            <w:r w:rsidR="0071433F">
              <w:rPr>
                <w:noProof/>
                <w:webHidden/>
              </w:rPr>
              <w:fldChar w:fldCharType="end"/>
            </w:r>
          </w:hyperlink>
        </w:p>
        <w:p w:rsidR="00090DBD" w:rsidRDefault="00803AF0">
          <w:pPr>
            <w:pStyle w:val="TOC1"/>
            <w:rPr>
              <w:rFonts w:asciiTheme="minorHAnsi" w:eastAsiaTheme="minorEastAsia" w:hAnsiTheme="minorHAnsi"/>
              <w:noProof/>
              <w:sz w:val="22"/>
            </w:rPr>
          </w:pPr>
          <w:hyperlink w:anchor="_Toc395180640" w:history="1">
            <w:r w:rsidR="00090DBD" w:rsidRPr="006E09EA">
              <w:rPr>
                <w:rStyle w:val="Hyperlink"/>
                <w:noProof/>
              </w:rPr>
              <w:t>Chapter 2:  Comparative State Analysis of Kentucky’s School Finance Program</w:t>
            </w:r>
            <w:r w:rsidR="00090DBD">
              <w:rPr>
                <w:noProof/>
                <w:webHidden/>
              </w:rPr>
              <w:tab/>
            </w:r>
            <w:r w:rsidR="0071433F">
              <w:rPr>
                <w:noProof/>
                <w:webHidden/>
              </w:rPr>
              <w:fldChar w:fldCharType="begin"/>
            </w:r>
            <w:r w:rsidR="00090DBD">
              <w:rPr>
                <w:noProof/>
                <w:webHidden/>
              </w:rPr>
              <w:instrText xml:space="preserve"> PAGEREF _Toc395180640 \h </w:instrText>
            </w:r>
            <w:r w:rsidR="0071433F">
              <w:rPr>
                <w:noProof/>
                <w:webHidden/>
              </w:rPr>
            </w:r>
            <w:r w:rsidR="0071433F">
              <w:rPr>
                <w:noProof/>
                <w:webHidden/>
              </w:rPr>
              <w:fldChar w:fldCharType="separate"/>
            </w:r>
            <w:r w:rsidR="009E20FE">
              <w:rPr>
                <w:noProof/>
                <w:webHidden/>
              </w:rPr>
              <w:t>14</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41" w:history="1">
            <w:r w:rsidR="00090DBD" w:rsidRPr="006E09EA">
              <w:rPr>
                <w:rStyle w:val="Hyperlink"/>
                <w:noProof/>
              </w:rPr>
              <w:t>Selecting Comparative States</w:t>
            </w:r>
            <w:r w:rsidR="00090DBD">
              <w:rPr>
                <w:noProof/>
                <w:webHidden/>
              </w:rPr>
              <w:tab/>
            </w:r>
            <w:r w:rsidR="0071433F">
              <w:rPr>
                <w:noProof/>
                <w:webHidden/>
              </w:rPr>
              <w:fldChar w:fldCharType="begin"/>
            </w:r>
            <w:r w:rsidR="00090DBD">
              <w:rPr>
                <w:noProof/>
                <w:webHidden/>
              </w:rPr>
              <w:instrText xml:space="preserve"> PAGEREF _Toc395180641 \h </w:instrText>
            </w:r>
            <w:r w:rsidR="0071433F">
              <w:rPr>
                <w:noProof/>
                <w:webHidden/>
              </w:rPr>
            </w:r>
            <w:r w:rsidR="0071433F">
              <w:rPr>
                <w:noProof/>
                <w:webHidden/>
              </w:rPr>
              <w:fldChar w:fldCharType="separate"/>
            </w:r>
            <w:r w:rsidR="009E20FE">
              <w:rPr>
                <w:noProof/>
                <w:webHidden/>
              </w:rPr>
              <w:t>14</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42" w:history="1">
            <w:r w:rsidR="00090DBD" w:rsidRPr="006E09EA">
              <w:rPr>
                <w:rStyle w:val="Hyperlink"/>
                <w:noProof/>
              </w:rPr>
              <w:t>State Comparative Findings</w:t>
            </w:r>
            <w:r w:rsidR="00090DBD">
              <w:rPr>
                <w:noProof/>
                <w:webHidden/>
              </w:rPr>
              <w:tab/>
            </w:r>
            <w:r w:rsidR="0071433F">
              <w:rPr>
                <w:noProof/>
                <w:webHidden/>
              </w:rPr>
              <w:fldChar w:fldCharType="begin"/>
            </w:r>
            <w:r w:rsidR="00090DBD">
              <w:rPr>
                <w:noProof/>
                <w:webHidden/>
              </w:rPr>
              <w:instrText xml:space="preserve"> PAGEREF _Toc395180642 \h </w:instrText>
            </w:r>
            <w:r w:rsidR="0071433F">
              <w:rPr>
                <w:noProof/>
                <w:webHidden/>
              </w:rPr>
            </w:r>
            <w:r w:rsidR="0071433F">
              <w:rPr>
                <w:noProof/>
                <w:webHidden/>
              </w:rPr>
              <w:fldChar w:fldCharType="separate"/>
            </w:r>
            <w:r w:rsidR="009E20FE">
              <w:rPr>
                <w:noProof/>
                <w:webHidden/>
              </w:rPr>
              <w:t>15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3" w:history="1">
            <w:r w:rsidR="00090DBD" w:rsidRPr="006E09EA">
              <w:rPr>
                <w:rStyle w:val="Hyperlink"/>
                <w:noProof/>
              </w:rPr>
              <w:t>Educational Expenditures</w:t>
            </w:r>
            <w:r w:rsidR="00090DBD">
              <w:rPr>
                <w:noProof/>
                <w:webHidden/>
              </w:rPr>
              <w:tab/>
            </w:r>
            <w:r w:rsidR="0071433F">
              <w:rPr>
                <w:noProof/>
                <w:webHidden/>
              </w:rPr>
              <w:fldChar w:fldCharType="begin"/>
            </w:r>
            <w:r w:rsidR="00090DBD">
              <w:rPr>
                <w:noProof/>
                <w:webHidden/>
              </w:rPr>
              <w:instrText xml:space="preserve"> PAGEREF _Toc395180643 \h </w:instrText>
            </w:r>
            <w:r w:rsidR="0071433F">
              <w:rPr>
                <w:noProof/>
                <w:webHidden/>
              </w:rPr>
            </w:r>
            <w:r w:rsidR="0071433F">
              <w:rPr>
                <w:noProof/>
                <w:webHidden/>
              </w:rPr>
              <w:fldChar w:fldCharType="separate"/>
            </w:r>
            <w:r w:rsidR="009E20FE">
              <w:rPr>
                <w:noProof/>
                <w:webHidden/>
              </w:rPr>
              <w:t>15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4" w:history="1">
            <w:r w:rsidR="00090DBD" w:rsidRPr="006E09EA">
              <w:rPr>
                <w:rStyle w:val="Hyperlink"/>
                <w:noProof/>
              </w:rPr>
              <w:t>Student Population</w:t>
            </w:r>
            <w:r w:rsidR="00090DBD">
              <w:rPr>
                <w:noProof/>
                <w:webHidden/>
              </w:rPr>
              <w:tab/>
            </w:r>
            <w:r w:rsidR="0071433F">
              <w:rPr>
                <w:noProof/>
                <w:webHidden/>
              </w:rPr>
              <w:fldChar w:fldCharType="begin"/>
            </w:r>
            <w:r w:rsidR="00090DBD">
              <w:rPr>
                <w:noProof/>
                <w:webHidden/>
              </w:rPr>
              <w:instrText xml:space="preserve"> PAGEREF _Toc395180644 \h </w:instrText>
            </w:r>
            <w:r w:rsidR="0071433F">
              <w:rPr>
                <w:noProof/>
                <w:webHidden/>
              </w:rPr>
            </w:r>
            <w:r w:rsidR="0071433F">
              <w:rPr>
                <w:noProof/>
                <w:webHidden/>
              </w:rPr>
              <w:fldChar w:fldCharType="separate"/>
            </w:r>
            <w:r w:rsidR="009E20FE">
              <w:rPr>
                <w:noProof/>
                <w:webHidden/>
              </w:rPr>
              <w:t>15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5" w:history="1">
            <w:r w:rsidR="00090DBD" w:rsidRPr="006E09EA">
              <w:rPr>
                <w:rStyle w:val="Hyperlink"/>
                <w:noProof/>
              </w:rPr>
              <w:t>Teachers</w:t>
            </w:r>
            <w:r w:rsidR="00090DBD">
              <w:rPr>
                <w:noProof/>
                <w:webHidden/>
              </w:rPr>
              <w:tab/>
            </w:r>
            <w:r w:rsidR="0071433F">
              <w:rPr>
                <w:noProof/>
                <w:webHidden/>
              </w:rPr>
              <w:fldChar w:fldCharType="begin"/>
            </w:r>
            <w:r w:rsidR="00090DBD">
              <w:rPr>
                <w:noProof/>
                <w:webHidden/>
              </w:rPr>
              <w:instrText xml:space="preserve"> PAGEREF _Toc395180645 \h </w:instrText>
            </w:r>
            <w:r w:rsidR="0071433F">
              <w:rPr>
                <w:noProof/>
                <w:webHidden/>
              </w:rPr>
            </w:r>
            <w:r w:rsidR="0071433F">
              <w:rPr>
                <w:noProof/>
                <w:webHidden/>
              </w:rPr>
              <w:fldChar w:fldCharType="separate"/>
            </w:r>
            <w:r w:rsidR="009E20FE">
              <w:rPr>
                <w:noProof/>
                <w:webHidden/>
              </w:rPr>
              <w:t>16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6" w:history="1">
            <w:r w:rsidR="00090DBD" w:rsidRPr="006E09EA">
              <w:rPr>
                <w:rStyle w:val="Hyperlink"/>
                <w:noProof/>
              </w:rPr>
              <w:t>Student Achievement</w:t>
            </w:r>
            <w:r w:rsidR="00090DBD">
              <w:rPr>
                <w:noProof/>
                <w:webHidden/>
              </w:rPr>
              <w:tab/>
            </w:r>
            <w:r w:rsidR="0071433F">
              <w:rPr>
                <w:noProof/>
                <w:webHidden/>
              </w:rPr>
              <w:fldChar w:fldCharType="begin"/>
            </w:r>
            <w:r w:rsidR="00090DBD">
              <w:rPr>
                <w:noProof/>
                <w:webHidden/>
              </w:rPr>
              <w:instrText xml:space="preserve"> PAGEREF _Toc395180646 \h </w:instrText>
            </w:r>
            <w:r w:rsidR="0071433F">
              <w:rPr>
                <w:noProof/>
                <w:webHidden/>
              </w:rPr>
            </w:r>
            <w:r w:rsidR="0071433F">
              <w:rPr>
                <w:noProof/>
                <w:webHidden/>
              </w:rPr>
              <w:fldChar w:fldCharType="separate"/>
            </w:r>
            <w:r w:rsidR="009E20FE">
              <w:rPr>
                <w:noProof/>
                <w:webHidden/>
              </w:rPr>
              <w:t>16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7" w:history="1">
            <w:r w:rsidR="00090DBD" w:rsidRPr="006E09EA">
              <w:rPr>
                <w:rStyle w:val="Hyperlink"/>
                <w:noProof/>
              </w:rPr>
              <w:t>Educational Funding Distribution Systems</w:t>
            </w:r>
            <w:r w:rsidR="00090DBD">
              <w:rPr>
                <w:noProof/>
                <w:webHidden/>
              </w:rPr>
              <w:tab/>
            </w:r>
            <w:r w:rsidR="0071433F">
              <w:rPr>
                <w:noProof/>
                <w:webHidden/>
              </w:rPr>
              <w:fldChar w:fldCharType="begin"/>
            </w:r>
            <w:r w:rsidR="00090DBD">
              <w:rPr>
                <w:noProof/>
                <w:webHidden/>
              </w:rPr>
              <w:instrText xml:space="preserve"> PAGEREF _Toc395180647 \h </w:instrText>
            </w:r>
            <w:r w:rsidR="0071433F">
              <w:rPr>
                <w:noProof/>
                <w:webHidden/>
              </w:rPr>
            </w:r>
            <w:r w:rsidR="0071433F">
              <w:rPr>
                <w:noProof/>
                <w:webHidden/>
              </w:rPr>
              <w:fldChar w:fldCharType="separate"/>
            </w:r>
            <w:r w:rsidR="009E20FE">
              <w:rPr>
                <w:noProof/>
                <w:webHidden/>
              </w:rPr>
              <w:t>16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8" w:history="1">
            <w:r w:rsidR="00090DBD" w:rsidRPr="006E09EA">
              <w:rPr>
                <w:rStyle w:val="Hyperlink"/>
                <w:noProof/>
              </w:rPr>
              <w:t>Funding Special Student Populations</w:t>
            </w:r>
            <w:r w:rsidR="00090DBD">
              <w:rPr>
                <w:noProof/>
                <w:webHidden/>
              </w:rPr>
              <w:tab/>
            </w:r>
            <w:r w:rsidR="0071433F">
              <w:rPr>
                <w:noProof/>
                <w:webHidden/>
              </w:rPr>
              <w:fldChar w:fldCharType="begin"/>
            </w:r>
            <w:r w:rsidR="00090DBD">
              <w:rPr>
                <w:noProof/>
                <w:webHidden/>
              </w:rPr>
              <w:instrText xml:space="preserve"> PAGEREF _Toc395180648 \h </w:instrText>
            </w:r>
            <w:r w:rsidR="0071433F">
              <w:rPr>
                <w:noProof/>
                <w:webHidden/>
              </w:rPr>
            </w:r>
            <w:r w:rsidR="0071433F">
              <w:rPr>
                <w:noProof/>
                <w:webHidden/>
              </w:rPr>
              <w:fldChar w:fldCharType="separate"/>
            </w:r>
            <w:r w:rsidR="009E20FE">
              <w:rPr>
                <w:noProof/>
                <w:webHidden/>
              </w:rPr>
              <w:t>17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49" w:history="1">
            <w:r w:rsidR="00090DBD" w:rsidRPr="006E09EA">
              <w:rPr>
                <w:rStyle w:val="Hyperlink"/>
                <w:noProof/>
              </w:rPr>
              <w:t>Education Funding Systems in Comparative States</w:t>
            </w:r>
            <w:r w:rsidR="00090DBD">
              <w:rPr>
                <w:noProof/>
                <w:webHidden/>
              </w:rPr>
              <w:tab/>
            </w:r>
            <w:r w:rsidR="0071433F">
              <w:rPr>
                <w:noProof/>
                <w:webHidden/>
              </w:rPr>
              <w:fldChar w:fldCharType="begin"/>
            </w:r>
            <w:r w:rsidR="00090DBD">
              <w:rPr>
                <w:noProof/>
                <w:webHidden/>
              </w:rPr>
              <w:instrText xml:space="preserve"> PAGEREF _Toc395180649 \h </w:instrText>
            </w:r>
            <w:r w:rsidR="0071433F">
              <w:rPr>
                <w:noProof/>
                <w:webHidden/>
              </w:rPr>
            </w:r>
            <w:r w:rsidR="0071433F">
              <w:rPr>
                <w:noProof/>
                <w:webHidden/>
              </w:rPr>
              <w:fldChar w:fldCharType="separate"/>
            </w:r>
            <w:r w:rsidR="009E20FE">
              <w:rPr>
                <w:noProof/>
                <w:webHidden/>
              </w:rPr>
              <w:t>17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0" w:history="1">
            <w:r w:rsidR="00090DBD" w:rsidRPr="006E09EA">
              <w:rPr>
                <w:rStyle w:val="Hyperlink"/>
                <w:noProof/>
              </w:rPr>
              <w:t>Transportation and Capital Costs</w:t>
            </w:r>
            <w:r w:rsidR="00090DBD">
              <w:rPr>
                <w:noProof/>
                <w:webHidden/>
              </w:rPr>
              <w:tab/>
            </w:r>
            <w:r w:rsidR="0071433F">
              <w:rPr>
                <w:noProof/>
                <w:webHidden/>
              </w:rPr>
              <w:fldChar w:fldCharType="begin"/>
            </w:r>
            <w:r w:rsidR="00090DBD">
              <w:rPr>
                <w:noProof/>
                <w:webHidden/>
              </w:rPr>
              <w:instrText xml:space="preserve"> PAGEREF _Toc395180650 \h </w:instrText>
            </w:r>
            <w:r w:rsidR="0071433F">
              <w:rPr>
                <w:noProof/>
                <w:webHidden/>
              </w:rPr>
            </w:r>
            <w:r w:rsidR="0071433F">
              <w:rPr>
                <w:noProof/>
                <w:webHidden/>
              </w:rPr>
              <w:fldChar w:fldCharType="separate"/>
            </w:r>
            <w:r w:rsidR="009E20FE">
              <w:rPr>
                <w:noProof/>
                <w:webHidden/>
              </w:rPr>
              <w:t>20</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1" w:history="1">
            <w:r w:rsidR="00090DBD" w:rsidRPr="006E09EA">
              <w:rPr>
                <w:rStyle w:val="Hyperlink"/>
                <w:noProof/>
              </w:rPr>
              <w:t>State Funding Comparisons</w:t>
            </w:r>
            <w:r w:rsidR="00090DBD">
              <w:rPr>
                <w:noProof/>
                <w:webHidden/>
              </w:rPr>
              <w:tab/>
            </w:r>
            <w:r w:rsidR="0071433F">
              <w:rPr>
                <w:noProof/>
                <w:webHidden/>
              </w:rPr>
              <w:fldChar w:fldCharType="begin"/>
            </w:r>
            <w:r w:rsidR="00090DBD">
              <w:rPr>
                <w:noProof/>
                <w:webHidden/>
              </w:rPr>
              <w:instrText xml:space="preserve"> PAGEREF _Toc395180651 \h </w:instrText>
            </w:r>
            <w:r w:rsidR="0071433F">
              <w:rPr>
                <w:noProof/>
                <w:webHidden/>
              </w:rPr>
            </w:r>
            <w:r w:rsidR="0071433F">
              <w:rPr>
                <w:noProof/>
                <w:webHidden/>
              </w:rPr>
              <w:fldChar w:fldCharType="separate"/>
            </w:r>
            <w:r w:rsidR="009E20FE">
              <w:rPr>
                <w:noProof/>
                <w:webHidden/>
              </w:rPr>
              <w:t>22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2" w:history="1">
            <w:r w:rsidR="00090DBD" w:rsidRPr="006E09EA">
              <w:rPr>
                <w:rStyle w:val="Hyperlink"/>
                <w:noProof/>
              </w:rPr>
              <w:t>Educational Expenditures</w:t>
            </w:r>
            <w:r w:rsidR="00090DBD">
              <w:rPr>
                <w:noProof/>
                <w:webHidden/>
              </w:rPr>
              <w:tab/>
            </w:r>
            <w:r w:rsidR="0071433F">
              <w:rPr>
                <w:noProof/>
                <w:webHidden/>
              </w:rPr>
              <w:fldChar w:fldCharType="begin"/>
            </w:r>
            <w:r w:rsidR="00090DBD">
              <w:rPr>
                <w:noProof/>
                <w:webHidden/>
              </w:rPr>
              <w:instrText xml:space="preserve"> PAGEREF _Toc395180652 \h </w:instrText>
            </w:r>
            <w:r w:rsidR="0071433F">
              <w:rPr>
                <w:noProof/>
                <w:webHidden/>
              </w:rPr>
            </w:r>
            <w:r w:rsidR="0071433F">
              <w:rPr>
                <w:noProof/>
                <w:webHidden/>
              </w:rPr>
              <w:fldChar w:fldCharType="separate"/>
            </w:r>
            <w:r w:rsidR="009E20FE">
              <w:rPr>
                <w:noProof/>
                <w:webHidden/>
              </w:rPr>
              <w:t>22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3" w:history="1">
            <w:r w:rsidR="00090DBD" w:rsidRPr="006E09EA">
              <w:rPr>
                <w:rStyle w:val="Hyperlink"/>
                <w:noProof/>
              </w:rPr>
              <w:t>Per Student Expenditures</w:t>
            </w:r>
            <w:r w:rsidR="00090DBD">
              <w:rPr>
                <w:noProof/>
                <w:webHidden/>
              </w:rPr>
              <w:tab/>
            </w:r>
            <w:r w:rsidR="0071433F">
              <w:rPr>
                <w:noProof/>
                <w:webHidden/>
              </w:rPr>
              <w:fldChar w:fldCharType="begin"/>
            </w:r>
            <w:r w:rsidR="00090DBD">
              <w:rPr>
                <w:noProof/>
                <w:webHidden/>
              </w:rPr>
              <w:instrText xml:space="preserve"> PAGEREF _Toc395180653 \h </w:instrText>
            </w:r>
            <w:r w:rsidR="0071433F">
              <w:rPr>
                <w:noProof/>
                <w:webHidden/>
              </w:rPr>
            </w:r>
            <w:r w:rsidR="0071433F">
              <w:rPr>
                <w:noProof/>
                <w:webHidden/>
              </w:rPr>
              <w:fldChar w:fldCharType="separate"/>
            </w:r>
            <w:r w:rsidR="009E20FE">
              <w:rPr>
                <w:noProof/>
                <w:webHidden/>
              </w:rPr>
              <w:t>23</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4" w:history="1">
            <w:r w:rsidR="00090DBD" w:rsidRPr="006E09EA">
              <w:rPr>
                <w:rStyle w:val="Hyperlink"/>
                <w:noProof/>
              </w:rPr>
              <w:t>Per Student Expenditures Adjusted by the Comparable Wage Index</w:t>
            </w:r>
            <w:r w:rsidR="00090DBD">
              <w:rPr>
                <w:noProof/>
                <w:webHidden/>
              </w:rPr>
              <w:tab/>
            </w:r>
            <w:r w:rsidR="0071433F">
              <w:rPr>
                <w:noProof/>
                <w:webHidden/>
              </w:rPr>
              <w:fldChar w:fldCharType="begin"/>
            </w:r>
            <w:r w:rsidR="00090DBD">
              <w:rPr>
                <w:noProof/>
                <w:webHidden/>
              </w:rPr>
              <w:instrText xml:space="preserve"> PAGEREF _Toc395180654 \h </w:instrText>
            </w:r>
            <w:r w:rsidR="0071433F">
              <w:rPr>
                <w:noProof/>
                <w:webHidden/>
              </w:rPr>
            </w:r>
            <w:r w:rsidR="0071433F">
              <w:rPr>
                <w:noProof/>
                <w:webHidden/>
              </w:rPr>
              <w:fldChar w:fldCharType="separate"/>
            </w:r>
            <w:r w:rsidR="009E20FE">
              <w:rPr>
                <w:noProof/>
                <w:webHidden/>
              </w:rPr>
              <w:t>24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5" w:history="1">
            <w:r w:rsidR="00090DBD" w:rsidRPr="006E09EA">
              <w:rPr>
                <w:rStyle w:val="Hyperlink"/>
                <w:noProof/>
              </w:rPr>
              <w:t>State Financial Commitment to Education</w:t>
            </w:r>
            <w:r w:rsidR="00090DBD">
              <w:rPr>
                <w:noProof/>
                <w:webHidden/>
              </w:rPr>
              <w:tab/>
            </w:r>
            <w:r w:rsidR="0071433F">
              <w:rPr>
                <w:noProof/>
                <w:webHidden/>
              </w:rPr>
              <w:fldChar w:fldCharType="begin"/>
            </w:r>
            <w:r w:rsidR="00090DBD">
              <w:rPr>
                <w:noProof/>
                <w:webHidden/>
              </w:rPr>
              <w:instrText xml:space="preserve"> PAGEREF _Toc395180655 \h </w:instrText>
            </w:r>
            <w:r w:rsidR="0071433F">
              <w:rPr>
                <w:noProof/>
                <w:webHidden/>
              </w:rPr>
            </w:r>
            <w:r w:rsidR="0071433F">
              <w:rPr>
                <w:noProof/>
                <w:webHidden/>
              </w:rPr>
              <w:fldChar w:fldCharType="separate"/>
            </w:r>
            <w:r w:rsidR="009E20FE">
              <w:rPr>
                <w:noProof/>
                <w:webHidden/>
              </w:rPr>
              <w:t>25</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56" w:history="1">
            <w:r w:rsidR="00090DBD" w:rsidRPr="006E09EA">
              <w:rPr>
                <w:rStyle w:val="Hyperlink"/>
                <w:noProof/>
              </w:rPr>
              <w:t>Factors That Drive Educational Expenditures</w:t>
            </w:r>
            <w:r w:rsidR="00090DBD">
              <w:rPr>
                <w:noProof/>
                <w:webHidden/>
              </w:rPr>
              <w:tab/>
            </w:r>
            <w:r w:rsidR="0071433F">
              <w:rPr>
                <w:noProof/>
                <w:webHidden/>
              </w:rPr>
              <w:fldChar w:fldCharType="begin"/>
            </w:r>
            <w:r w:rsidR="00090DBD">
              <w:rPr>
                <w:noProof/>
                <w:webHidden/>
              </w:rPr>
              <w:instrText xml:space="preserve"> PAGEREF _Toc395180656 \h </w:instrText>
            </w:r>
            <w:r w:rsidR="0071433F">
              <w:rPr>
                <w:noProof/>
                <w:webHidden/>
              </w:rPr>
            </w:r>
            <w:r w:rsidR="0071433F">
              <w:rPr>
                <w:noProof/>
                <w:webHidden/>
              </w:rPr>
              <w:fldChar w:fldCharType="separate"/>
            </w:r>
            <w:r w:rsidR="009E20FE">
              <w:rPr>
                <w:noProof/>
                <w:webHidden/>
              </w:rPr>
              <w:t>27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7" w:history="1">
            <w:r w:rsidR="00090DBD" w:rsidRPr="006E09EA">
              <w:rPr>
                <w:rStyle w:val="Hyperlink"/>
                <w:noProof/>
              </w:rPr>
              <w:t>Student Population</w:t>
            </w:r>
            <w:r w:rsidR="00090DBD">
              <w:rPr>
                <w:noProof/>
                <w:webHidden/>
              </w:rPr>
              <w:tab/>
            </w:r>
            <w:r w:rsidR="0071433F">
              <w:rPr>
                <w:noProof/>
                <w:webHidden/>
              </w:rPr>
              <w:fldChar w:fldCharType="begin"/>
            </w:r>
            <w:r w:rsidR="00090DBD">
              <w:rPr>
                <w:noProof/>
                <w:webHidden/>
              </w:rPr>
              <w:instrText xml:space="preserve"> PAGEREF _Toc395180657 \h </w:instrText>
            </w:r>
            <w:r w:rsidR="0071433F">
              <w:rPr>
                <w:noProof/>
                <w:webHidden/>
              </w:rPr>
            </w:r>
            <w:r w:rsidR="0071433F">
              <w:rPr>
                <w:noProof/>
                <w:webHidden/>
              </w:rPr>
              <w:fldChar w:fldCharType="separate"/>
            </w:r>
            <w:r w:rsidR="009E20FE">
              <w:rPr>
                <w:noProof/>
                <w:webHidden/>
              </w:rPr>
              <w:t>27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8" w:history="1">
            <w:r w:rsidR="00090DBD" w:rsidRPr="006E09EA">
              <w:rPr>
                <w:rStyle w:val="Hyperlink"/>
                <w:noProof/>
              </w:rPr>
              <w:t>Low-Income Student Population</w:t>
            </w:r>
            <w:r w:rsidR="00090DBD">
              <w:rPr>
                <w:noProof/>
                <w:webHidden/>
              </w:rPr>
              <w:tab/>
            </w:r>
            <w:r w:rsidR="0071433F">
              <w:rPr>
                <w:noProof/>
                <w:webHidden/>
              </w:rPr>
              <w:fldChar w:fldCharType="begin"/>
            </w:r>
            <w:r w:rsidR="00090DBD">
              <w:rPr>
                <w:noProof/>
                <w:webHidden/>
              </w:rPr>
              <w:instrText xml:space="preserve"> PAGEREF _Toc395180658 \h </w:instrText>
            </w:r>
            <w:r w:rsidR="0071433F">
              <w:rPr>
                <w:noProof/>
                <w:webHidden/>
              </w:rPr>
            </w:r>
            <w:r w:rsidR="0071433F">
              <w:rPr>
                <w:noProof/>
                <w:webHidden/>
              </w:rPr>
              <w:fldChar w:fldCharType="separate"/>
            </w:r>
            <w:r w:rsidR="009E20FE">
              <w:rPr>
                <w:noProof/>
                <w:webHidden/>
              </w:rPr>
              <w:t>29</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59" w:history="1">
            <w:r w:rsidR="00090DBD" w:rsidRPr="006E09EA">
              <w:rPr>
                <w:rStyle w:val="Hyperlink"/>
                <w:noProof/>
              </w:rPr>
              <w:t>English Learners</w:t>
            </w:r>
            <w:r w:rsidR="00090DBD">
              <w:rPr>
                <w:noProof/>
                <w:webHidden/>
              </w:rPr>
              <w:tab/>
            </w:r>
            <w:r w:rsidR="0071433F">
              <w:rPr>
                <w:noProof/>
                <w:webHidden/>
              </w:rPr>
              <w:fldChar w:fldCharType="begin"/>
            </w:r>
            <w:r w:rsidR="00090DBD">
              <w:rPr>
                <w:noProof/>
                <w:webHidden/>
              </w:rPr>
              <w:instrText xml:space="preserve"> PAGEREF _Toc395180659 \h </w:instrText>
            </w:r>
            <w:r w:rsidR="0071433F">
              <w:rPr>
                <w:noProof/>
                <w:webHidden/>
              </w:rPr>
            </w:r>
            <w:r w:rsidR="0071433F">
              <w:rPr>
                <w:noProof/>
                <w:webHidden/>
              </w:rPr>
              <w:fldChar w:fldCharType="separate"/>
            </w:r>
            <w:r w:rsidR="009E20FE">
              <w:rPr>
                <w:noProof/>
                <w:webHidden/>
              </w:rPr>
              <w:t>30</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0" w:history="1">
            <w:r w:rsidR="00090DBD" w:rsidRPr="006E09EA">
              <w:rPr>
                <w:rStyle w:val="Hyperlink"/>
                <w:noProof/>
              </w:rPr>
              <w:t>Special Education Student Population</w:t>
            </w:r>
            <w:r w:rsidR="00090DBD">
              <w:rPr>
                <w:noProof/>
                <w:webHidden/>
              </w:rPr>
              <w:tab/>
            </w:r>
            <w:r w:rsidR="0071433F">
              <w:rPr>
                <w:noProof/>
                <w:webHidden/>
              </w:rPr>
              <w:fldChar w:fldCharType="begin"/>
            </w:r>
            <w:r w:rsidR="00090DBD">
              <w:rPr>
                <w:noProof/>
                <w:webHidden/>
              </w:rPr>
              <w:instrText xml:space="preserve"> PAGEREF _Toc395180660 \h </w:instrText>
            </w:r>
            <w:r w:rsidR="0071433F">
              <w:rPr>
                <w:noProof/>
                <w:webHidden/>
              </w:rPr>
            </w:r>
            <w:r w:rsidR="0071433F">
              <w:rPr>
                <w:noProof/>
                <w:webHidden/>
              </w:rPr>
              <w:fldChar w:fldCharType="separate"/>
            </w:r>
            <w:r w:rsidR="009E20FE">
              <w:rPr>
                <w:noProof/>
                <w:webHidden/>
              </w:rPr>
              <w:t>31</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1" w:history="1">
            <w:r w:rsidR="00090DBD" w:rsidRPr="006E09EA">
              <w:rPr>
                <w:rStyle w:val="Hyperlink"/>
                <w:noProof/>
              </w:rPr>
              <w:t>Teachers</w:t>
            </w:r>
            <w:r w:rsidR="00090DBD">
              <w:rPr>
                <w:noProof/>
                <w:webHidden/>
              </w:rPr>
              <w:tab/>
            </w:r>
            <w:r w:rsidR="0071433F">
              <w:rPr>
                <w:noProof/>
                <w:webHidden/>
              </w:rPr>
              <w:fldChar w:fldCharType="begin"/>
            </w:r>
            <w:r w:rsidR="00090DBD">
              <w:rPr>
                <w:noProof/>
                <w:webHidden/>
              </w:rPr>
              <w:instrText xml:space="preserve"> PAGEREF _Toc395180661 \h </w:instrText>
            </w:r>
            <w:r w:rsidR="0071433F">
              <w:rPr>
                <w:noProof/>
                <w:webHidden/>
              </w:rPr>
            </w:r>
            <w:r w:rsidR="0071433F">
              <w:rPr>
                <w:noProof/>
                <w:webHidden/>
              </w:rPr>
              <w:fldChar w:fldCharType="separate"/>
            </w:r>
            <w:r w:rsidR="009E20FE">
              <w:rPr>
                <w:noProof/>
                <w:webHidden/>
              </w:rPr>
              <w:t>32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2" w:history="1">
            <w:r w:rsidR="00090DBD" w:rsidRPr="006E09EA">
              <w:rPr>
                <w:rStyle w:val="Hyperlink"/>
                <w:noProof/>
              </w:rPr>
              <w:t>Teacher Salaries Adjusted by Comparable Wage Index</w:t>
            </w:r>
            <w:r w:rsidR="00090DBD">
              <w:rPr>
                <w:noProof/>
                <w:webHidden/>
              </w:rPr>
              <w:tab/>
            </w:r>
            <w:r w:rsidR="0071433F">
              <w:rPr>
                <w:noProof/>
                <w:webHidden/>
              </w:rPr>
              <w:fldChar w:fldCharType="begin"/>
            </w:r>
            <w:r w:rsidR="00090DBD">
              <w:rPr>
                <w:noProof/>
                <w:webHidden/>
              </w:rPr>
              <w:instrText xml:space="preserve"> PAGEREF _Toc395180662 \h </w:instrText>
            </w:r>
            <w:r w:rsidR="0071433F">
              <w:rPr>
                <w:noProof/>
                <w:webHidden/>
              </w:rPr>
            </w:r>
            <w:r w:rsidR="0071433F">
              <w:rPr>
                <w:noProof/>
                <w:webHidden/>
              </w:rPr>
              <w:fldChar w:fldCharType="separate"/>
            </w:r>
            <w:r w:rsidR="009E20FE">
              <w:rPr>
                <w:noProof/>
                <w:webHidden/>
              </w:rPr>
              <w:t>33</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3" w:history="1">
            <w:r w:rsidR="00090DBD" w:rsidRPr="006E09EA">
              <w:rPr>
                <w:rStyle w:val="Hyperlink"/>
                <w:noProof/>
              </w:rPr>
              <w:t>Federal Education Spending</w:t>
            </w:r>
            <w:r w:rsidR="00090DBD">
              <w:rPr>
                <w:noProof/>
                <w:webHidden/>
              </w:rPr>
              <w:tab/>
            </w:r>
            <w:r w:rsidR="0071433F">
              <w:rPr>
                <w:noProof/>
                <w:webHidden/>
              </w:rPr>
              <w:fldChar w:fldCharType="begin"/>
            </w:r>
            <w:r w:rsidR="00090DBD">
              <w:rPr>
                <w:noProof/>
                <w:webHidden/>
              </w:rPr>
              <w:instrText xml:space="preserve"> PAGEREF _Toc395180663 \h </w:instrText>
            </w:r>
            <w:r w:rsidR="0071433F">
              <w:rPr>
                <w:noProof/>
                <w:webHidden/>
              </w:rPr>
            </w:r>
            <w:r w:rsidR="0071433F">
              <w:rPr>
                <w:noProof/>
                <w:webHidden/>
              </w:rPr>
              <w:fldChar w:fldCharType="separate"/>
            </w:r>
            <w:r w:rsidR="009E20FE">
              <w:rPr>
                <w:noProof/>
                <w:webHidden/>
              </w:rPr>
              <w:t>35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4" w:history="1">
            <w:r w:rsidR="00090DBD" w:rsidRPr="006E09EA">
              <w:rPr>
                <w:rStyle w:val="Hyperlink"/>
                <w:noProof/>
              </w:rPr>
              <w:t>Educational Outcomes</w:t>
            </w:r>
            <w:r w:rsidR="00090DBD">
              <w:rPr>
                <w:noProof/>
                <w:webHidden/>
              </w:rPr>
              <w:tab/>
            </w:r>
            <w:r w:rsidR="0071433F">
              <w:rPr>
                <w:noProof/>
                <w:webHidden/>
              </w:rPr>
              <w:fldChar w:fldCharType="begin"/>
            </w:r>
            <w:r w:rsidR="00090DBD">
              <w:rPr>
                <w:noProof/>
                <w:webHidden/>
              </w:rPr>
              <w:instrText xml:space="preserve"> PAGEREF _Toc395180664 \h </w:instrText>
            </w:r>
            <w:r w:rsidR="0071433F">
              <w:rPr>
                <w:noProof/>
                <w:webHidden/>
              </w:rPr>
            </w:r>
            <w:r w:rsidR="0071433F">
              <w:rPr>
                <w:noProof/>
                <w:webHidden/>
              </w:rPr>
              <w:fldChar w:fldCharType="separate"/>
            </w:r>
            <w:r w:rsidR="009E20FE">
              <w:rPr>
                <w:noProof/>
                <w:webHidden/>
              </w:rPr>
              <w:t>36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5" w:history="1">
            <w:r w:rsidR="00090DBD" w:rsidRPr="006E09EA">
              <w:rPr>
                <w:rStyle w:val="Hyperlink"/>
                <w:noProof/>
              </w:rPr>
              <w:t>National Assessment of Educational Progress</w:t>
            </w:r>
            <w:r w:rsidR="00090DBD">
              <w:rPr>
                <w:noProof/>
                <w:webHidden/>
              </w:rPr>
              <w:tab/>
            </w:r>
            <w:r w:rsidR="0071433F">
              <w:rPr>
                <w:noProof/>
                <w:webHidden/>
              </w:rPr>
              <w:fldChar w:fldCharType="begin"/>
            </w:r>
            <w:r w:rsidR="00090DBD">
              <w:rPr>
                <w:noProof/>
                <w:webHidden/>
              </w:rPr>
              <w:instrText xml:space="preserve"> PAGEREF _Toc395180665 \h </w:instrText>
            </w:r>
            <w:r w:rsidR="0071433F">
              <w:rPr>
                <w:noProof/>
                <w:webHidden/>
              </w:rPr>
            </w:r>
            <w:r w:rsidR="0071433F">
              <w:rPr>
                <w:noProof/>
                <w:webHidden/>
              </w:rPr>
              <w:fldChar w:fldCharType="separate"/>
            </w:r>
            <w:r w:rsidR="009E20FE">
              <w:rPr>
                <w:noProof/>
                <w:webHidden/>
              </w:rPr>
              <w:t>36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6" w:history="1">
            <w:r w:rsidR="00090DBD" w:rsidRPr="006E09EA">
              <w:rPr>
                <w:rStyle w:val="Hyperlink"/>
                <w:noProof/>
              </w:rPr>
              <w:t>NAEP - Scale Scores</w:t>
            </w:r>
            <w:r w:rsidR="00090DBD">
              <w:rPr>
                <w:noProof/>
                <w:webHidden/>
              </w:rPr>
              <w:tab/>
            </w:r>
            <w:r w:rsidR="0071433F">
              <w:rPr>
                <w:noProof/>
                <w:webHidden/>
              </w:rPr>
              <w:fldChar w:fldCharType="begin"/>
            </w:r>
            <w:r w:rsidR="00090DBD">
              <w:rPr>
                <w:noProof/>
                <w:webHidden/>
              </w:rPr>
              <w:instrText xml:space="preserve"> PAGEREF _Toc395180666 \h </w:instrText>
            </w:r>
            <w:r w:rsidR="0071433F">
              <w:rPr>
                <w:noProof/>
                <w:webHidden/>
              </w:rPr>
            </w:r>
            <w:r w:rsidR="0071433F">
              <w:rPr>
                <w:noProof/>
                <w:webHidden/>
              </w:rPr>
              <w:fldChar w:fldCharType="separate"/>
            </w:r>
            <w:r w:rsidR="009E20FE">
              <w:rPr>
                <w:noProof/>
                <w:webHidden/>
              </w:rPr>
              <w:t>36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7" w:history="1">
            <w:r w:rsidR="00090DBD" w:rsidRPr="006E09EA">
              <w:rPr>
                <w:rStyle w:val="Hyperlink"/>
                <w:noProof/>
              </w:rPr>
              <w:t>NAEP – Student Achievement Levels</w:t>
            </w:r>
            <w:r w:rsidR="00090DBD">
              <w:rPr>
                <w:noProof/>
                <w:webHidden/>
              </w:rPr>
              <w:tab/>
            </w:r>
            <w:r w:rsidR="0071433F">
              <w:rPr>
                <w:noProof/>
                <w:webHidden/>
              </w:rPr>
              <w:fldChar w:fldCharType="begin"/>
            </w:r>
            <w:r w:rsidR="00090DBD">
              <w:rPr>
                <w:noProof/>
                <w:webHidden/>
              </w:rPr>
              <w:instrText xml:space="preserve"> PAGEREF _Toc395180667 \h </w:instrText>
            </w:r>
            <w:r w:rsidR="0071433F">
              <w:rPr>
                <w:noProof/>
                <w:webHidden/>
              </w:rPr>
            </w:r>
            <w:r w:rsidR="0071433F">
              <w:rPr>
                <w:noProof/>
                <w:webHidden/>
              </w:rPr>
              <w:fldChar w:fldCharType="separate"/>
            </w:r>
            <w:r w:rsidR="009E20FE">
              <w:rPr>
                <w:noProof/>
                <w:webHidden/>
              </w:rPr>
              <w:t>38</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8" w:history="1">
            <w:r w:rsidR="00090DBD" w:rsidRPr="006E09EA">
              <w:rPr>
                <w:rStyle w:val="Hyperlink"/>
                <w:noProof/>
              </w:rPr>
              <w:t>Above the National Average But Below the Highest Achieving State</w:t>
            </w:r>
            <w:r w:rsidR="00090DBD">
              <w:rPr>
                <w:noProof/>
                <w:webHidden/>
              </w:rPr>
              <w:tab/>
            </w:r>
            <w:r w:rsidR="0071433F">
              <w:rPr>
                <w:noProof/>
                <w:webHidden/>
              </w:rPr>
              <w:fldChar w:fldCharType="begin"/>
            </w:r>
            <w:r w:rsidR="00090DBD">
              <w:rPr>
                <w:noProof/>
                <w:webHidden/>
              </w:rPr>
              <w:instrText xml:space="preserve"> PAGEREF _Toc395180668 \h </w:instrText>
            </w:r>
            <w:r w:rsidR="0071433F">
              <w:rPr>
                <w:noProof/>
                <w:webHidden/>
              </w:rPr>
            </w:r>
            <w:r w:rsidR="0071433F">
              <w:rPr>
                <w:noProof/>
                <w:webHidden/>
              </w:rPr>
              <w:fldChar w:fldCharType="separate"/>
            </w:r>
            <w:r w:rsidR="009E20FE">
              <w:rPr>
                <w:noProof/>
                <w:webHidden/>
              </w:rPr>
              <w:t>39</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69" w:history="1">
            <w:r w:rsidR="00090DBD" w:rsidRPr="006E09EA">
              <w:rPr>
                <w:rStyle w:val="Hyperlink"/>
                <w:noProof/>
              </w:rPr>
              <w:t>Other Educational Measures</w:t>
            </w:r>
            <w:r w:rsidR="00090DBD">
              <w:rPr>
                <w:noProof/>
                <w:webHidden/>
              </w:rPr>
              <w:tab/>
            </w:r>
            <w:r w:rsidR="0071433F">
              <w:rPr>
                <w:noProof/>
                <w:webHidden/>
              </w:rPr>
              <w:fldChar w:fldCharType="begin"/>
            </w:r>
            <w:r w:rsidR="00090DBD">
              <w:rPr>
                <w:noProof/>
                <w:webHidden/>
              </w:rPr>
              <w:instrText xml:space="preserve"> PAGEREF _Toc395180669 \h </w:instrText>
            </w:r>
            <w:r w:rsidR="0071433F">
              <w:rPr>
                <w:noProof/>
                <w:webHidden/>
              </w:rPr>
            </w:r>
            <w:r w:rsidR="0071433F">
              <w:rPr>
                <w:noProof/>
                <w:webHidden/>
              </w:rPr>
              <w:fldChar w:fldCharType="separate"/>
            </w:r>
            <w:r w:rsidR="009E20FE">
              <w:rPr>
                <w:noProof/>
                <w:webHidden/>
              </w:rPr>
              <w:t>42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0" w:history="1">
            <w:r w:rsidR="00090DBD" w:rsidRPr="006E09EA">
              <w:rPr>
                <w:rStyle w:val="Hyperlink"/>
                <w:noProof/>
              </w:rPr>
              <w:t>Below Average Funding</w:t>
            </w:r>
            <w:r w:rsidR="00090DBD">
              <w:rPr>
                <w:noProof/>
                <w:webHidden/>
              </w:rPr>
              <w:tab/>
            </w:r>
            <w:r w:rsidR="0071433F">
              <w:rPr>
                <w:noProof/>
                <w:webHidden/>
              </w:rPr>
              <w:fldChar w:fldCharType="begin"/>
            </w:r>
            <w:r w:rsidR="00090DBD">
              <w:rPr>
                <w:noProof/>
                <w:webHidden/>
              </w:rPr>
              <w:instrText xml:space="preserve"> PAGEREF _Toc395180670 \h </w:instrText>
            </w:r>
            <w:r w:rsidR="0071433F">
              <w:rPr>
                <w:noProof/>
                <w:webHidden/>
              </w:rPr>
            </w:r>
            <w:r w:rsidR="0071433F">
              <w:rPr>
                <w:noProof/>
                <w:webHidden/>
              </w:rPr>
              <w:fldChar w:fldCharType="separate"/>
            </w:r>
            <w:r w:rsidR="009E20FE">
              <w:rPr>
                <w:noProof/>
                <w:webHidden/>
              </w:rPr>
              <w:t>43</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1" w:history="1">
            <w:r w:rsidR="00090DBD" w:rsidRPr="006E09EA">
              <w:rPr>
                <w:rStyle w:val="Hyperlink"/>
                <w:noProof/>
              </w:rPr>
              <w:t>Below Average Teacher Salaries</w:t>
            </w:r>
            <w:r w:rsidR="00090DBD">
              <w:rPr>
                <w:noProof/>
                <w:webHidden/>
              </w:rPr>
              <w:tab/>
            </w:r>
            <w:r w:rsidR="0071433F">
              <w:rPr>
                <w:noProof/>
                <w:webHidden/>
              </w:rPr>
              <w:fldChar w:fldCharType="begin"/>
            </w:r>
            <w:r w:rsidR="00090DBD">
              <w:rPr>
                <w:noProof/>
                <w:webHidden/>
              </w:rPr>
              <w:instrText xml:space="preserve"> PAGEREF _Toc395180671 \h </w:instrText>
            </w:r>
            <w:r w:rsidR="0071433F">
              <w:rPr>
                <w:noProof/>
                <w:webHidden/>
              </w:rPr>
            </w:r>
            <w:r w:rsidR="0071433F">
              <w:rPr>
                <w:noProof/>
                <w:webHidden/>
              </w:rPr>
              <w:fldChar w:fldCharType="separate"/>
            </w:r>
            <w:r w:rsidR="009E20FE">
              <w:rPr>
                <w:noProof/>
                <w:webHidden/>
              </w:rPr>
              <w:t>45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2" w:history="1">
            <w:r w:rsidR="00090DBD" w:rsidRPr="006E09EA">
              <w:rPr>
                <w:rStyle w:val="Hyperlink"/>
                <w:noProof/>
              </w:rPr>
              <w:t>Mixed Educational Outcomes</w:t>
            </w:r>
            <w:r w:rsidR="00090DBD">
              <w:rPr>
                <w:noProof/>
                <w:webHidden/>
              </w:rPr>
              <w:tab/>
            </w:r>
            <w:r w:rsidR="0071433F">
              <w:rPr>
                <w:noProof/>
                <w:webHidden/>
              </w:rPr>
              <w:fldChar w:fldCharType="begin"/>
            </w:r>
            <w:r w:rsidR="00090DBD">
              <w:rPr>
                <w:noProof/>
                <w:webHidden/>
              </w:rPr>
              <w:instrText xml:space="preserve"> PAGEREF _Toc395180672 \h </w:instrText>
            </w:r>
            <w:r w:rsidR="0071433F">
              <w:rPr>
                <w:noProof/>
                <w:webHidden/>
              </w:rPr>
            </w:r>
            <w:r w:rsidR="0071433F">
              <w:rPr>
                <w:noProof/>
                <w:webHidden/>
              </w:rPr>
              <w:fldChar w:fldCharType="separate"/>
            </w:r>
            <w:r w:rsidR="009E20FE">
              <w:rPr>
                <w:noProof/>
                <w:webHidden/>
              </w:rPr>
              <w:t>47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3" w:history="1">
            <w:r w:rsidR="00090DBD" w:rsidRPr="006E09EA">
              <w:rPr>
                <w:rStyle w:val="Hyperlink"/>
                <w:noProof/>
              </w:rPr>
              <w:t>Mixed NAEP Results</w:t>
            </w:r>
            <w:r w:rsidR="00090DBD">
              <w:rPr>
                <w:noProof/>
                <w:webHidden/>
              </w:rPr>
              <w:tab/>
            </w:r>
            <w:r w:rsidR="0071433F">
              <w:rPr>
                <w:noProof/>
                <w:webHidden/>
              </w:rPr>
              <w:fldChar w:fldCharType="begin"/>
            </w:r>
            <w:r w:rsidR="00090DBD">
              <w:rPr>
                <w:noProof/>
                <w:webHidden/>
              </w:rPr>
              <w:instrText xml:space="preserve"> PAGEREF _Toc395180673 \h </w:instrText>
            </w:r>
            <w:r w:rsidR="0071433F">
              <w:rPr>
                <w:noProof/>
                <w:webHidden/>
              </w:rPr>
            </w:r>
            <w:r w:rsidR="0071433F">
              <w:rPr>
                <w:noProof/>
                <w:webHidden/>
              </w:rPr>
              <w:fldChar w:fldCharType="separate"/>
            </w:r>
            <w:r w:rsidR="009E20FE">
              <w:rPr>
                <w:noProof/>
                <w:webHidden/>
              </w:rPr>
              <w:t>48</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74" w:history="1">
            <w:r w:rsidR="00090DBD" w:rsidRPr="006E09EA">
              <w:rPr>
                <w:rStyle w:val="Hyperlink"/>
                <w:noProof/>
              </w:rPr>
              <w:t>Conclusion</w:t>
            </w:r>
            <w:r w:rsidR="00090DBD">
              <w:rPr>
                <w:noProof/>
                <w:webHidden/>
              </w:rPr>
              <w:tab/>
            </w:r>
            <w:r w:rsidR="0071433F">
              <w:rPr>
                <w:noProof/>
                <w:webHidden/>
              </w:rPr>
              <w:fldChar w:fldCharType="begin"/>
            </w:r>
            <w:r w:rsidR="00090DBD">
              <w:rPr>
                <w:noProof/>
                <w:webHidden/>
              </w:rPr>
              <w:instrText xml:space="preserve"> PAGEREF _Toc395180674 \h </w:instrText>
            </w:r>
            <w:r w:rsidR="0071433F">
              <w:rPr>
                <w:noProof/>
                <w:webHidden/>
              </w:rPr>
            </w:r>
            <w:r w:rsidR="0071433F">
              <w:rPr>
                <w:noProof/>
                <w:webHidden/>
              </w:rPr>
              <w:fldChar w:fldCharType="separate"/>
            </w:r>
            <w:r w:rsidR="009E20FE">
              <w:rPr>
                <w:noProof/>
                <w:webHidden/>
              </w:rPr>
              <w:t>49</w:t>
            </w:r>
            <w:r w:rsidR="0071433F">
              <w:rPr>
                <w:noProof/>
                <w:webHidden/>
              </w:rPr>
              <w:fldChar w:fldCharType="end"/>
            </w:r>
          </w:hyperlink>
        </w:p>
        <w:p w:rsidR="00090DBD" w:rsidRDefault="00803AF0">
          <w:pPr>
            <w:pStyle w:val="TOC1"/>
            <w:rPr>
              <w:rFonts w:asciiTheme="minorHAnsi" w:eastAsiaTheme="minorEastAsia" w:hAnsiTheme="minorHAnsi"/>
              <w:noProof/>
              <w:sz w:val="22"/>
            </w:rPr>
          </w:pPr>
          <w:hyperlink w:anchor="_Toc395180675" w:history="1">
            <w:r w:rsidR="00090DBD" w:rsidRPr="006E09EA">
              <w:rPr>
                <w:rStyle w:val="Hyperlink"/>
                <w:noProof/>
              </w:rPr>
              <w:t>Chapter 3: an Evidence-Based Adequacy Model</w:t>
            </w:r>
            <w:r w:rsidR="00090DBD">
              <w:rPr>
                <w:noProof/>
                <w:webHidden/>
              </w:rPr>
              <w:tab/>
            </w:r>
            <w:r w:rsidR="0071433F">
              <w:rPr>
                <w:noProof/>
                <w:webHidden/>
              </w:rPr>
              <w:fldChar w:fldCharType="begin"/>
            </w:r>
            <w:r w:rsidR="00090DBD">
              <w:rPr>
                <w:noProof/>
                <w:webHidden/>
              </w:rPr>
              <w:instrText xml:space="preserve"> PAGEREF _Toc395180675 \h </w:instrText>
            </w:r>
            <w:r w:rsidR="0071433F">
              <w:rPr>
                <w:noProof/>
                <w:webHidden/>
              </w:rPr>
            </w:r>
            <w:r w:rsidR="0071433F">
              <w:rPr>
                <w:noProof/>
                <w:webHidden/>
              </w:rPr>
              <w:fldChar w:fldCharType="separate"/>
            </w:r>
            <w:r w:rsidR="009E20FE">
              <w:rPr>
                <w:noProof/>
                <w:webHidden/>
              </w:rPr>
              <w:t>50</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76" w:history="1">
            <w:r w:rsidR="00090DBD" w:rsidRPr="006E09EA">
              <w:rPr>
                <w:rStyle w:val="Hyperlink"/>
                <w:noProof/>
              </w:rPr>
              <w:t>A. Student Counts, Preschool, Kindergarten and School Size Adjustments</w:t>
            </w:r>
            <w:r w:rsidR="00090DBD">
              <w:rPr>
                <w:noProof/>
                <w:webHidden/>
              </w:rPr>
              <w:tab/>
            </w:r>
            <w:r w:rsidR="0071433F">
              <w:rPr>
                <w:noProof/>
                <w:webHidden/>
              </w:rPr>
              <w:fldChar w:fldCharType="begin"/>
            </w:r>
            <w:r w:rsidR="00090DBD">
              <w:rPr>
                <w:noProof/>
                <w:webHidden/>
              </w:rPr>
              <w:instrText xml:space="preserve"> PAGEREF _Toc395180676 \h </w:instrText>
            </w:r>
            <w:r w:rsidR="0071433F">
              <w:rPr>
                <w:noProof/>
                <w:webHidden/>
              </w:rPr>
            </w:r>
            <w:r w:rsidR="0071433F">
              <w:rPr>
                <w:noProof/>
                <w:webHidden/>
              </w:rPr>
              <w:fldChar w:fldCharType="separate"/>
            </w:r>
            <w:r w:rsidR="009E20FE">
              <w:rPr>
                <w:noProof/>
                <w:webHidden/>
              </w:rPr>
              <w:t>57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7" w:history="1">
            <w:r w:rsidR="00090DBD" w:rsidRPr="006E09EA">
              <w:rPr>
                <w:rStyle w:val="Hyperlink"/>
                <w:noProof/>
              </w:rPr>
              <w:t>A.1 Student Counts for Calculating Base Aid</w:t>
            </w:r>
            <w:r w:rsidR="00090DBD">
              <w:rPr>
                <w:noProof/>
                <w:webHidden/>
              </w:rPr>
              <w:tab/>
            </w:r>
            <w:r w:rsidR="0071433F">
              <w:rPr>
                <w:noProof/>
                <w:webHidden/>
              </w:rPr>
              <w:fldChar w:fldCharType="begin"/>
            </w:r>
            <w:r w:rsidR="00090DBD">
              <w:rPr>
                <w:noProof/>
                <w:webHidden/>
              </w:rPr>
              <w:instrText xml:space="preserve"> PAGEREF _Toc395180677 \h </w:instrText>
            </w:r>
            <w:r w:rsidR="0071433F">
              <w:rPr>
                <w:noProof/>
                <w:webHidden/>
              </w:rPr>
            </w:r>
            <w:r w:rsidR="0071433F">
              <w:rPr>
                <w:noProof/>
                <w:webHidden/>
              </w:rPr>
              <w:fldChar w:fldCharType="separate"/>
            </w:r>
            <w:r w:rsidR="009E20FE">
              <w:rPr>
                <w:noProof/>
                <w:webHidden/>
              </w:rPr>
              <w:t>57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8" w:history="1">
            <w:r w:rsidR="00090DBD" w:rsidRPr="006E09EA">
              <w:rPr>
                <w:rStyle w:val="Hyperlink"/>
                <w:noProof/>
              </w:rPr>
              <w:t>A.2 Preschool</w:t>
            </w:r>
            <w:r w:rsidR="00090DBD">
              <w:rPr>
                <w:noProof/>
                <w:webHidden/>
              </w:rPr>
              <w:tab/>
            </w:r>
            <w:r w:rsidR="0071433F">
              <w:rPr>
                <w:noProof/>
                <w:webHidden/>
              </w:rPr>
              <w:fldChar w:fldCharType="begin"/>
            </w:r>
            <w:r w:rsidR="00090DBD">
              <w:rPr>
                <w:noProof/>
                <w:webHidden/>
              </w:rPr>
              <w:instrText xml:space="preserve"> PAGEREF _Toc395180678 \h </w:instrText>
            </w:r>
            <w:r w:rsidR="0071433F">
              <w:rPr>
                <w:noProof/>
                <w:webHidden/>
              </w:rPr>
            </w:r>
            <w:r w:rsidR="0071433F">
              <w:rPr>
                <w:noProof/>
                <w:webHidden/>
              </w:rPr>
              <w:fldChar w:fldCharType="separate"/>
            </w:r>
            <w:r w:rsidR="009E20FE">
              <w:rPr>
                <w:noProof/>
                <w:webHidden/>
              </w:rPr>
              <w:t>58</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79" w:history="1">
            <w:r w:rsidR="00090DBD" w:rsidRPr="006E09EA">
              <w:rPr>
                <w:rStyle w:val="Hyperlink"/>
                <w:noProof/>
              </w:rPr>
              <w:t>A.3 Full-Day Kindergarten</w:t>
            </w:r>
            <w:r w:rsidR="00090DBD">
              <w:rPr>
                <w:noProof/>
                <w:webHidden/>
              </w:rPr>
              <w:tab/>
            </w:r>
            <w:r w:rsidR="0071433F">
              <w:rPr>
                <w:noProof/>
                <w:webHidden/>
              </w:rPr>
              <w:fldChar w:fldCharType="begin"/>
            </w:r>
            <w:r w:rsidR="00090DBD">
              <w:rPr>
                <w:noProof/>
                <w:webHidden/>
              </w:rPr>
              <w:instrText xml:space="preserve"> PAGEREF _Toc395180679 \h </w:instrText>
            </w:r>
            <w:r w:rsidR="0071433F">
              <w:rPr>
                <w:noProof/>
                <w:webHidden/>
              </w:rPr>
            </w:r>
            <w:r w:rsidR="0071433F">
              <w:rPr>
                <w:noProof/>
                <w:webHidden/>
              </w:rPr>
              <w:fldChar w:fldCharType="separate"/>
            </w:r>
            <w:r w:rsidR="009E20FE">
              <w:rPr>
                <w:noProof/>
                <w:webHidden/>
              </w:rPr>
              <w:t>59</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0" w:history="1">
            <w:r w:rsidR="00090DBD" w:rsidRPr="006E09EA">
              <w:rPr>
                <w:rStyle w:val="Hyperlink"/>
                <w:noProof/>
              </w:rPr>
              <w:t>A.4 School Size for Purpose of Estimating Resources</w:t>
            </w:r>
            <w:r w:rsidR="00090DBD">
              <w:rPr>
                <w:noProof/>
                <w:webHidden/>
              </w:rPr>
              <w:tab/>
            </w:r>
            <w:r w:rsidR="0071433F">
              <w:rPr>
                <w:noProof/>
                <w:webHidden/>
              </w:rPr>
              <w:fldChar w:fldCharType="begin"/>
            </w:r>
            <w:r w:rsidR="00090DBD">
              <w:rPr>
                <w:noProof/>
                <w:webHidden/>
              </w:rPr>
              <w:instrText xml:space="preserve"> PAGEREF _Toc395180680 \h </w:instrText>
            </w:r>
            <w:r w:rsidR="0071433F">
              <w:rPr>
                <w:noProof/>
                <w:webHidden/>
              </w:rPr>
            </w:r>
            <w:r w:rsidR="0071433F">
              <w:rPr>
                <w:noProof/>
                <w:webHidden/>
              </w:rPr>
              <w:fldChar w:fldCharType="separate"/>
            </w:r>
            <w:r w:rsidR="009E20FE">
              <w:rPr>
                <w:noProof/>
                <w:webHidden/>
              </w:rPr>
              <w:t>60</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81" w:history="1">
            <w:r w:rsidR="00090DBD" w:rsidRPr="006E09EA">
              <w:rPr>
                <w:rStyle w:val="Hyperlink"/>
                <w:noProof/>
              </w:rPr>
              <w:t>B. Adequate Staffing for the Core Programs in Prototypical Schools</w:t>
            </w:r>
            <w:r w:rsidR="00090DBD">
              <w:rPr>
                <w:noProof/>
                <w:webHidden/>
              </w:rPr>
              <w:tab/>
            </w:r>
            <w:r w:rsidR="0071433F">
              <w:rPr>
                <w:noProof/>
                <w:webHidden/>
              </w:rPr>
              <w:fldChar w:fldCharType="begin"/>
            </w:r>
            <w:r w:rsidR="00090DBD">
              <w:rPr>
                <w:noProof/>
                <w:webHidden/>
              </w:rPr>
              <w:instrText xml:space="preserve"> PAGEREF _Toc395180681 \h </w:instrText>
            </w:r>
            <w:r w:rsidR="0071433F">
              <w:rPr>
                <w:noProof/>
                <w:webHidden/>
              </w:rPr>
            </w:r>
            <w:r w:rsidR="0071433F">
              <w:rPr>
                <w:noProof/>
                <w:webHidden/>
              </w:rPr>
              <w:fldChar w:fldCharType="separate"/>
            </w:r>
            <w:r w:rsidR="009E20FE">
              <w:rPr>
                <w:noProof/>
                <w:webHidden/>
              </w:rPr>
              <w:t>62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2" w:history="1">
            <w:r w:rsidR="00090DBD" w:rsidRPr="006E09EA">
              <w:rPr>
                <w:rStyle w:val="Hyperlink"/>
                <w:noProof/>
              </w:rPr>
              <w:t>B.5 Core Content Teachers/Class Size</w:t>
            </w:r>
            <w:r w:rsidR="00090DBD">
              <w:rPr>
                <w:noProof/>
                <w:webHidden/>
              </w:rPr>
              <w:tab/>
            </w:r>
            <w:r w:rsidR="0071433F">
              <w:rPr>
                <w:noProof/>
                <w:webHidden/>
              </w:rPr>
              <w:fldChar w:fldCharType="begin"/>
            </w:r>
            <w:r w:rsidR="00090DBD">
              <w:rPr>
                <w:noProof/>
                <w:webHidden/>
              </w:rPr>
              <w:instrText xml:space="preserve"> PAGEREF _Toc395180682 \h </w:instrText>
            </w:r>
            <w:r w:rsidR="0071433F">
              <w:rPr>
                <w:noProof/>
                <w:webHidden/>
              </w:rPr>
            </w:r>
            <w:r w:rsidR="0071433F">
              <w:rPr>
                <w:noProof/>
                <w:webHidden/>
              </w:rPr>
              <w:fldChar w:fldCharType="separate"/>
            </w:r>
            <w:r w:rsidR="009E20FE">
              <w:rPr>
                <w:noProof/>
                <w:webHidden/>
              </w:rPr>
              <w:t>62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3" w:history="1">
            <w:r w:rsidR="00090DBD" w:rsidRPr="006E09EA">
              <w:rPr>
                <w:rStyle w:val="Hyperlink"/>
                <w:noProof/>
              </w:rPr>
              <w:t>B.6 Specialist Teachers</w:t>
            </w:r>
            <w:r w:rsidR="00090DBD">
              <w:rPr>
                <w:noProof/>
                <w:webHidden/>
              </w:rPr>
              <w:tab/>
            </w:r>
            <w:r w:rsidR="0071433F">
              <w:rPr>
                <w:noProof/>
                <w:webHidden/>
              </w:rPr>
              <w:fldChar w:fldCharType="begin"/>
            </w:r>
            <w:r w:rsidR="00090DBD">
              <w:rPr>
                <w:noProof/>
                <w:webHidden/>
              </w:rPr>
              <w:instrText xml:space="preserve"> PAGEREF _Toc395180683 \h </w:instrText>
            </w:r>
            <w:r w:rsidR="0071433F">
              <w:rPr>
                <w:noProof/>
                <w:webHidden/>
              </w:rPr>
            </w:r>
            <w:r w:rsidR="0071433F">
              <w:rPr>
                <w:noProof/>
                <w:webHidden/>
              </w:rPr>
              <w:fldChar w:fldCharType="separate"/>
            </w:r>
            <w:r w:rsidR="009E20FE">
              <w:rPr>
                <w:noProof/>
                <w:webHidden/>
              </w:rPr>
              <w:t>64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4" w:history="1">
            <w:r w:rsidR="00090DBD" w:rsidRPr="006E09EA">
              <w:rPr>
                <w:rStyle w:val="Hyperlink"/>
                <w:noProof/>
              </w:rPr>
              <w:t>B.7 Instructional Coaches/Technology Coordinators</w:t>
            </w:r>
            <w:r w:rsidR="00090DBD">
              <w:rPr>
                <w:noProof/>
                <w:webHidden/>
              </w:rPr>
              <w:tab/>
            </w:r>
            <w:r w:rsidR="0071433F">
              <w:rPr>
                <w:noProof/>
                <w:webHidden/>
              </w:rPr>
              <w:fldChar w:fldCharType="begin"/>
            </w:r>
            <w:r w:rsidR="00090DBD">
              <w:rPr>
                <w:noProof/>
                <w:webHidden/>
              </w:rPr>
              <w:instrText xml:space="preserve"> PAGEREF _Toc395180684 \h </w:instrText>
            </w:r>
            <w:r w:rsidR="0071433F">
              <w:rPr>
                <w:noProof/>
                <w:webHidden/>
              </w:rPr>
            </w:r>
            <w:r w:rsidR="0071433F">
              <w:rPr>
                <w:noProof/>
                <w:webHidden/>
              </w:rPr>
              <w:fldChar w:fldCharType="separate"/>
            </w:r>
            <w:r w:rsidR="009E20FE">
              <w:rPr>
                <w:noProof/>
                <w:webHidden/>
              </w:rPr>
              <w:t>65</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85" w:history="1">
            <w:r w:rsidR="00090DBD" w:rsidRPr="006E09EA">
              <w:rPr>
                <w:rStyle w:val="Hyperlink"/>
                <w:noProof/>
              </w:rPr>
              <w:t>C. Staffing for Extra Student Needs</w:t>
            </w:r>
            <w:r w:rsidR="00090DBD">
              <w:rPr>
                <w:noProof/>
                <w:webHidden/>
              </w:rPr>
              <w:tab/>
            </w:r>
            <w:r w:rsidR="0071433F">
              <w:rPr>
                <w:noProof/>
                <w:webHidden/>
              </w:rPr>
              <w:fldChar w:fldCharType="begin"/>
            </w:r>
            <w:r w:rsidR="00090DBD">
              <w:rPr>
                <w:noProof/>
                <w:webHidden/>
              </w:rPr>
              <w:instrText xml:space="preserve"> PAGEREF _Toc395180685 \h </w:instrText>
            </w:r>
            <w:r w:rsidR="0071433F">
              <w:rPr>
                <w:noProof/>
                <w:webHidden/>
              </w:rPr>
            </w:r>
            <w:r w:rsidR="0071433F">
              <w:rPr>
                <w:noProof/>
                <w:webHidden/>
              </w:rPr>
              <w:fldChar w:fldCharType="separate"/>
            </w:r>
            <w:r w:rsidR="009E20FE">
              <w:rPr>
                <w:noProof/>
                <w:webHidden/>
              </w:rPr>
              <w:t>67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6" w:history="1">
            <w:r w:rsidR="00090DBD" w:rsidRPr="006E09EA">
              <w:rPr>
                <w:rStyle w:val="Hyperlink"/>
                <w:noProof/>
              </w:rPr>
              <w:t>C.8 Tutoring</w:t>
            </w:r>
            <w:r w:rsidR="00090DBD">
              <w:rPr>
                <w:noProof/>
                <w:webHidden/>
              </w:rPr>
              <w:tab/>
            </w:r>
            <w:r w:rsidR="0071433F">
              <w:rPr>
                <w:noProof/>
                <w:webHidden/>
              </w:rPr>
              <w:fldChar w:fldCharType="begin"/>
            </w:r>
            <w:r w:rsidR="00090DBD">
              <w:rPr>
                <w:noProof/>
                <w:webHidden/>
              </w:rPr>
              <w:instrText xml:space="preserve"> PAGEREF _Toc395180686 \h </w:instrText>
            </w:r>
            <w:r w:rsidR="0071433F">
              <w:rPr>
                <w:noProof/>
                <w:webHidden/>
              </w:rPr>
            </w:r>
            <w:r w:rsidR="0071433F">
              <w:rPr>
                <w:noProof/>
                <w:webHidden/>
              </w:rPr>
              <w:fldChar w:fldCharType="separate"/>
            </w:r>
            <w:r w:rsidR="009E20FE">
              <w:rPr>
                <w:noProof/>
                <w:webHidden/>
              </w:rPr>
              <w:t>68</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7" w:history="1">
            <w:r w:rsidR="00090DBD" w:rsidRPr="006E09EA">
              <w:rPr>
                <w:rStyle w:val="Hyperlink"/>
                <w:noProof/>
              </w:rPr>
              <w:t>C.9 Extended-Day Programs</w:t>
            </w:r>
            <w:r w:rsidR="00090DBD">
              <w:rPr>
                <w:noProof/>
                <w:webHidden/>
              </w:rPr>
              <w:tab/>
            </w:r>
            <w:r w:rsidR="0071433F">
              <w:rPr>
                <w:noProof/>
                <w:webHidden/>
              </w:rPr>
              <w:fldChar w:fldCharType="begin"/>
            </w:r>
            <w:r w:rsidR="00090DBD">
              <w:rPr>
                <w:noProof/>
                <w:webHidden/>
              </w:rPr>
              <w:instrText xml:space="preserve"> PAGEREF _Toc395180687 \h </w:instrText>
            </w:r>
            <w:r w:rsidR="0071433F">
              <w:rPr>
                <w:noProof/>
                <w:webHidden/>
              </w:rPr>
            </w:r>
            <w:r w:rsidR="0071433F">
              <w:rPr>
                <w:noProof/>
                <w:webHidden/>
              </w:rPr>
              <w:fldChar w:fldCharType="separate"/>
            </w:r>
            <w:r w:rsidR="009E20FE">
              <w:rPr>
                <w:noProof/>
                <w:webHidden/>
              </w:rPr>
              <w:t>70</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8" w:history="1">
            <w:r w:rsidR="00090DBD" w:rsidRPr="006E09EA">
              <w:rPr>
                <w:rStyle w:val="Hyperlink"/>
                <w:noProof/>
              </w:rPr>
              <w:t>C.10 Summer School</w:t>
            </w:r>
            <w:r w:rsidR="00090DBD">
              <w:rPr>
                <w:noProof/>
                <w:webHidden/>
              </w:rPr>
              <w:tab/>
            </w:r>
            <w:r w:rsidR="0071433F">
              <w:rPr>
                <w:noProof/>
                <w:webHidden/>
              </w:rPr>
              <w:fldChar w:fldCharType="begin"/>
            </w:r>
            <w:r w:rsidR="00090DBD">
              <w:rPr>
                <w:noProof/>
                <w:webHidden/>
              </w:rPr>
              <w:instrText xml:space="preserve"> PAGEREF _Toc395180688 \h </w:instrText>
            </w:r>
            <w:r w:rsidR="0071433F">
              <w:rPr>
                <w:noProof/>
                <w:webHidden/>
              </w:rPr>
            </w:r>
            <w:r w:rsidR="0071433F">
              <w:rPr>
                <w:noProof/>
                <w:webHidden/>
              </w:rPr>
              <w:fldChar w:fldCharType="separate"/>
            </w:r>
            <w:r w:rsidR="009E20FE">
              <w:rPr>
                <w:noProof/>
                <w:webHidden/>
              </w:rPr>
              <w:t>72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89" w:history="1">
            <w:r w:rsidR="00090DBD" w:rsidRPr="006E09EA">
              <w:rPr>
                <w:rStyle w:val="Hyperlink"/>
                <w:noProof/>
              </w:rPr>
              <w:t>C.11 Exceptional Children (Students with Disabilities)</w:t>
            </w:r>
            <w:r w:rsidR="00090DBD">
              <w:rPr>
                <w:noProof/>
                <w:webHidden/>
              </w:rPr>
              <w:tab/>
            </w:r>
            <w:r w:rsidR="0071433F">
              <w:rPr>
                <w:noProof/>
                <w:webHidden/>
              </w:rPr>
              <w:fldChar w:fldCharType="begin"/>
            </w:r>
            <w:r w:rsidR="00090DBD">
              <w:rPr>
                <w:noProof/>
                <w:webHidden/>
              </w:rPr>
              <w:instrText xml:space="preserve"> PAGEREF _Toc395180689 \h </w:instrText>
            </w:r>
            <w:r w:rsidR="0071433F">
              <w:rPr>
                <w:noProof/>
                <w:webHidden/>
              </w:rPr>
            </w:r>
            <w:r w:rsidR="0071433F">
              <w:rPr>
                <w:noProof/>
                <w:webHidden/>
              </w:rPr>
              <w:fldChar w:fldCharType="separate"/>
            </w:r>
            <w:r w:rsidR="009E20FE">
              <w:rPr>
                <w:noProof/>
                <w:webHidden/>
              </w:rPr>
              <w:t>74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0" w:history="1">
            <w:r w:rsidR="00090DBD" w:rsidRPr="006E09EA">
              <w:rPr>
                <w:rStyle w:val="Hyperlink"/>
                <w:noProof/>
              </w:rPr>
              <w:t>C.12 English Learners</w:t>
            </w:r>
            <w:r w:rsidR="00090DBD">
              <w:rPr>
                <w:noProof/>
                <w:webHidden/>
              </w:rPr>
              <w:tab/>
            </w:r>
            <w:r w:rsidR="0071433F">
              <w:rPr>
                <w:noProof/>
                <w:webHidden/>
              </w:rPr>
              <w:fldChar w:fldCharType="begin"/>
            </w:r>
            <w:r w:rsidR="00090DBD">
              <w:rPr>
                <w:noProof/>
                <w:webHidden/>
              </w:rPr>
              <w:instrText xml:space="preserve"> PAGEREF _Toc395180690 \h </w:instrText>
            </w:r>
            <w:r w:rsidR="0071433F">
              <w:rPr>
                <w:noProof/>
                <w:webHidden/>
              </w:rPr>
            </w:r>
            <w:r w:rsidR="0071433F">
              <w:rPr>
                <w:noProof/>
                <w:webHidden/>
              </w:rPr>
              <w:fldChar w:fldCharType="separate"/>
            </w:r>
            <w:r w:rsidR="009E20FE">
              <w:rPr>
                <w:noProof/>
                <w:webHidden/>
              </w:rPr>
              <w:t>76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1" w:history="1">
            <w:r w:rsidR="00090DBD" w:rsidRPr="006E09EA">
              <w:rPr>
                <w:rStyle w:val="Hyperlink"/>
                <w:noProof/>
              </w:rPr>
              <w:t>C.13 Gifted and Talented Students</w:t>
            </w:r>
            <w:r w:rsidR="00090DBD">
              <w:rPr>
                <w:noProof/>
                <w:webHidden/>
              </w:rPr>
              <w:tab/>
            </w:r>
            <w:r w:rsidR="0071433F">
              <w:rPr>
                <w:noProof/>
                <w:webHidden/>
              </w:rPr>
              <w:fldChar w:fldCharType="begin"/>
            </w:r>
            <w:r w:rsidR="00090DBD">
              <w:rPr>
                <w:noProof/>
                <w:webHidden/>
              </w:rPr>
              <w:instrText xml:space="preserve"> PAGEREF _Toc395180691 \h </w:instrText>
            </w:r>
            <w:r w:rsidR="0071433F">
              <w:rPr>
                <w:noProof/>
                <w:webHidden/>
              </w:rPr>
            </w:r>
            <w:r w:rsidR="0071433F">
              <w:rPr>
                <w:noProof/>
                <w:webHidden/>
              </w:rPr>
              <w:fldChar w:fldCharType="separate"/>
            </w:r>
            <w:r w:rsidR="009E20FE">
              <w:rPr>
                <w:noProof/>
                <w:webHidden/>
              </w:rPr>
              <w:t>78</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2" w:history="1">
            <w:r w:rsidR="00090DBD" w:rsidRPr="006E09EA">
              <w:rPr>
                <w:rStyle w:val="Hyperlink"/>
                <w:noProof/>
              </w:rPr>
              <w:t>C.14 Career and Technical Education</w:t>
            </w:r>
            <w:r w:rsidR="00090DBD">
              <w:rPr>
                <w:noProof/>
                <w:webHidden/>
              </w:rPr>
              <w:tab/>
            </w:r>
            <w:r w:rsidR="0071433F">
              <w:rPr>
                <w:noProof/>
                <w:webHidden/>
              </w:rPr>
              <w:fldChar w:fldCharType="begin"/>
            </w:r>
            <w:r w:rsidR="00090DBD">
              <w:rPr>
                <w:noProof/>
                <w:webHidden/>
              </w:rPr>
              <w:instrText xml:space="preserve"> PAGEREF _Toc395180692 \h </w:instrText>
            </w:r>
            <w:r w:rsidR="0071433F">
              <w:rPr>
                <w:noProof/>
                <w:webHidden/>
              </w:rPr>
            </w:r>
            <w:r w:rsidR="0071433F">
              <w:rPr>
                <w:noProof/>
                <w:webHidden/>
              </w:rPr>
              <w:fldChar w:fldCharType="separate"/>
            </w:r>
            <w:r w:rsidR="009E20FE">
              <w:rPr>
                <w:noProof/>
                <w:webHidden/>
              </w:rPr>
              <w:t>81</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693" w:history="1">
            <w:r w:rsidR="00090DBD" w:rsidRPr="006E09EA">
              <w:rPr>
                <w:rStyle w:val="Hyperlink"/>
                <w:noProof/>
              </w:rPr>
              <w:t>D. Additional Staffing and Resource Needs</w:t>
            </w:r>
            <w:r w:rsidR="00090DBD">
              <w:rPr>
                <w:noProof/>
                <w:webHidden/>
              </w:rPr>
              <w:tab/>
            </w:r>
            <w:r w:rsidR="0071433F">
              <w:rPr>
                <w:noProof/>
                <w:webHidden/>
              </w:rPr>
              <w:fldChar w:fldCharType="begin"/>
            </w:r>
            <w:r w:rsidR="00090DBD">
              <w:rPr>
                <w:noProof/>
                <w:webHidden/>
              </w:rPr>
              <w:instrText xml:space="preserve"> PAGEREF _Toc395180693 \h </w:instrText>
            </w:r>
            <w:r w:rsidR="0071433F">
              <w:rPr>
                <w:noProof/>
                <w:webHidden/>
              </w:rPr>
            </w:r>
            <w:r w:rsidR="0071433F">
              <w:rPr>
                <w:noProof/>
                <w:webHidden/>
              </w:rPr>
              <w:fldChar w:fldCharType="separate"/>
            </w:r>
            <w:r w:rsidR="009E20FE">
              <w:rPr>
                <w:noProof/>
                <w:webHidden/>
              </w:rPr>
              <w:t>82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4" w:history="1">
            <w:r w:rsidR="00090DBD" w:rsidRPr="006E09EA">
              <w:rPr>
                <w:rStyle w:val="Hyperlink"/>
                <w:noProof/>
              </w:rPr>
              <w:t>D.15 Substitute Teachers</w:t>
            </w:r>
            <w:r w:rsidR="00090DBD">
              <w:rPr>
                <w:noProof/>
                <w:webHidden/>
              </w:rPr>
              <w:tab/>
            </w:r>
            <w:r w:rsidR="0071433F">
              <w:rPr>
                <w:noProof/>
                <w:webHidden/>
              </w:rPr>
              <w:fldChar w:fldCharType="begin"/>
            </w:r>
            <w:r w:rsidR="00090DBD">
              <w:rPr>
                <w:noProof/>
                <w:webHidden/>
              </w:rPr>
              <w:instrText xml:space="preserve"> PAGEREF _Toc395180694 \h </w:instrText>
            </w:r>
            <w:r w:rsidR="0071433F">
              <w:rPr>
                <w:noProof/>
                <w:webHidden/>
              </w:rPr>
            </w:r>
            <w:r w:rsidR="0071433F">
              <w:rPr>
                <w:noProof/>
                <w:webHidden/>
              </w:rPr>
              <w:fldChar w:fldCharType="separate"/>
            </w:r>
            <w:r w:rsidR="009E20FE">
              <w:rPr>
                <w:noProof/>
                <w:webHidden/>
              </w:rPr>
              <w:t>82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5" w:history="1">
            <w:r w:rsidR="00090DBD" w:rsidRPr="006E09EA">
              <w:rPr>
                <w:rStyle w:val="Hyperlink"/>
                <w:noProof/>
              </w:rPr>
              <w:t>D.16 Student Support</w:t>
            </w:r>
            <w:r w:rsidR="00090DBD">
              <w:rPr>
                <w:noProof/>
                <w:webHidden/>
              </w:rPr>
              <w:tab/>
            </w:r>
            <w:r w:rsidR="0071433F">
              <w:rPr>
                <w:noProof/>
                <w:webHidden/>
              </w:rPr>
              <w:fldChar w:fldCharType="begin"/>
            </w:r>
            <w:r w:rsidR="00090DBD">
              <w:rPr>
                <w:noProof/>
                <w:webHidden/>
              </w:rPr>
              <w:instrText xml:space="preserve"> PAGEREF _Toc395180695 \h </w:instrText>
            </w:r>
            <w:r w:rsidR="0071433F">
              <w:rPr>
                <w:noProof/>
                <w:webHidden/>
              </w:rPr>
            </w:r>
            <w:r w:rsidR="0071433F">
              <w:rPr>
                <w:noProof/>
                <w:webHidden/>
              </w:rPr>
              <w:fldChar w:fldCharType="separate"/>
            </w:r>
            <w:r w:rsidR="009E20FE">
              <w:rPr>
                <w:noProof/>
                <w:webHidden/>
              </w:rPr>
              <w:t>82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6" w:history="1">
            <w:r w:rsidR="00090DBD" w:rsidRPr="006E09EA">
              <w:rPr>
                <w:rStyle w:val="Hyperlink"/>
                <w:noProof/>
              </w:rPr>
              <w:t>D.17 Supervisory Aides/Instructional Aides</w:t>
            </w:r>
            <w:r w:rsidR="00090DBD">
              <w:rPr>
                <w:noProof/>
                <w:webHidden/>
              </w:rPr>
              <w:tab/>
            </w:r>
            <w:r w:rsidR="0071433F">
              <w:rPr>
                <w:noProof/>
                <w:webHidden/>
              </w:rPr>
              <w:fldChar w:fldCharType="begin"/>
            </w:r>
            <w:r w:rsidR="00090DBD">
              <w:rPr>
                <w:noProof/>
                <w:webHidden/>
              </w:rPr>
              <w:instrText xml:space="preserve"> PAGEREF _Toc395180696 \h </w:instrText>
            </w:r>
            <w:r w:rsidR="0071433F">
              <w:rPr>
                <w:noProof/>
                <w:webHidden/>
              </w:rPr>
            </w:r>
            <w:r w:rsidR="0071433F">
              <w:rPr>
                <w:noProof/>
                <w:webHidden/>
              </w:rPr>
              <w:fldChar w:fldCharType="separate"/>
            </w:r>
            <w:r w:rsidR="009E20FE">
              <w:rPr>
                <w:noProof/>
                <w:webHidden/>
              </w:rPr>
              <w:t>84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7" w:history="1">
            <w:r w:rsidR="00090DBD" w:rsidRPr="006E09EA">
              <w:rPr>
                <w:rStyle w:val="Hyperlink"/>
                <w:noProof/>
              </w:rPr>
              <w:t>D.18 Librarians</w:t>
            </w:r>
            <w:r w:rsidR="00090DBD">
              <w:rPr>
                <w:noProof/>
                <w:webHidden/>
              </w:rPr>
              <w:tab/>
            </w:r>
            <w:r w:rsidR="0071433F">
              <w:rPr>
                <w:noProof/>
                <w:webHidden/>
              </w:rPr>
              <w:fldChar w:fldCharType="begin"/>
            </w:r>
            <w:r w:rsidR="00090DBD">
              <w:rPr>
                <w:noProof/>
                <w:webHidden/>
              </w:rPr>
              <w:instrText xml:space="preserve"> PAGEREF _Toc395180697 \h </w:instrText>
            </w:r>
            <w:r w:rsidR="0071433F">
              <w:rPr>
                <w:noProof/>
                <w:webHidden/>
              </w:rPr>
            </w:r>
            <w:r w:rsidR="0071433F">
              <w:rPr>
                <w:noProof/>
                <w:webHidden/>
              </w:rPr>
              <w:fldChar w:fldCharType="separate"/>
            </w:r>
            <w:r w:rsidR="009E20FE">
              <w:rPr>
                <w:noProof/>
                <w:webHidden/>
              </w:rPr>
              <w:t>84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8" w:history="1">
            <w:r w:rsidR="00090DBD" w:rsidRPr="006E09EA">
              <w:rPr>
                <w:rStyle w:val="Hyperlink"/>
                <w:noProof/>
              </w:rPr>
              <w:t>D.19 Principal</w:t>
            </w:r>
            <w:r w:rsidR="00090DBD">
              <w:rPr>
                <w:noProof/>
                <w:webHidden/>
              </w:rPr>
              <w:tab/>
            </w:r>
            <w:r w:rsidR="0071433F">
              <w:rPr>
                <w:noProof/>
                <w:webHidden/>
              </w:rPr>
              <w:fldChar w:fldCharType="begin"/>
            </w:r>
            <w:r w:rsidR="00090DBD">
              <w:rPr>
                <w:noProof/>
                <w:webHidden/>
              </w:rPr>
              <w:instrText xml:space="preserve"> PAGEREF _Toc395180698 \h </w:instrText>
            </w:r>
            <w:r w:rsidR="0071433F">
              <w:rPr>
                <w:noProof/>
                <w:webHidden/>
              </w:rPr>
            </w:r>
            <w:r w:rsidR="0071433F">
              <w:rPr>
                <w:noProof/>
                <w:webHidden/>
              </w:rPr>
              <w:fldChar w:fldCharType="separate"/>
            </w:r>
            <w:r w:rsidR="009E20FE">
              <w:rPr>
                <w:noProof/>
                <w:webHidden/>
              </w:rPr>
              <w:t>85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699" w:history="1">
            <w:r w:rsidR="00090DBD" w:rsidRPr="006E09EA">
              <w:rPr>
                <w:rStyle w:val="Hyperlink"/>
                <w:noProof/>
              </w:rPr>
              <w:t>D.20 Assistant Principal</w:t>
            </w:r>
            <w:r w:rsidR="00090DBD">
              <w:rPr>
                <w:noProof/>
                <w:webHidden/>
              </w:rPr>
              <w:tab/>
            </w:r>
            <w:r w:rsidR="0071433F">
              <w:rPr>
                <w:noProof/>
                <w:webHidden/>
              </w:rPr>
              <w:fldChar w:fldCharType="begin"/>
            </w:r>
            <w:r w:rsidR="00090DBD">
              <w:rPr>
                <w:noProof/>
                <w:webHidden/>
              </w:rPr>
              <w:instrText xml:space="preserve"> PAGEREF _Toc395180699 \h </w:instrText>
            </w:r>
            <w:r w:rsidR="0071433F">
              <w:rPr>
                <w:noProof/>
                <w:webHidden/>
              </w:rPr>
            </w:r>
            <w:r w:rsidR="0071433F">
              <w:rPr>
                <w:noProof/>
                <w:webHidden/>
              </w:rPr>
              <w:fldChar w:fldCharType="separate"/>
            </w:r>
            <w:r w:rsidR="009E20FE">
              <w:rPr>
                <w:noProof/>
                <w:webHidden/>
              </w:rPr>
              <w:t>86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0" w:history="1">
            <w:r w:rsidR="00090DBD" w:rsidRPr="006E09EA">
              <w:rPr>
                <w:rStyle w:val="Hyperlink"/>
                <w:noProof/>
              </w:rPr>
              <w:t>D.21 School Site Secretarial Staff</w:t>
            </w:r>
            <w:r w:rsidR="00090DBD">
              <w:rPr>
                <w:noProof/>
                <w:webHidden/>
              </w:rPr>
              <w:tab/>
            </w:r>
            <w:r w:rsidR="0071433F">
              <w:rPr>
                <w:noProof/>
                <w:webHidden/>
              </w:rPr>
              <w:fldChar w:fldCharType="begin"/>
            </w:r>
            <w:r w:rsidR="00090DBD">
              <w:rPr>
                <w:noProof/>
                <w:webHidden/>
              </w:rPr>
              <w:instrText xml:space="preserve"> PAGEREF _Toc395180700 \h </w:instrText>
            </w:r>
            <w:r w:rsidR="0071433F">
              <w:rPr>
                <w:noProof/>
                <w:webHidden/>
              </w:rPr>
            </w:r>
            <w:r w:rsidR="0071433F">
              <w:rPr>
                <w:noProof/>
                <w:webHidden/>
              </w:rPr>
              <w:fldChar w:fldCharType="separate"/>
            </w:r>
            <w:r w:rsidR="009E20FE">
              <w:rPr>
                <w:noProof/>
                <w:webHidden/>
              </w:rPr>
              <w:t>86</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1" w:history="1">
            <w:r w:rsidR="00090DBD" w:rsidRPr="006E09EA">
              <w:rPr>
                <w:rStyle w:val="Hyperlink"/>
                <w:noProof/>
              </w:rPr>
              <w:t>D.22 Professional Development</w:t>
            </w:r>
            <w:r w:rsidR="00090DBD">
              <w:rPr>
                <w:noProof/>
                <w:webHidden/>
              </w:rPr>
              <w:tab/>
            </w:r>
            <w:r w:rsidR="0071433F">
              <w:rPr>
                <w:noProof/>
                <w:webHidden/>
              </w:rPr>
              <w:fldChar w:fldCharType="begin"/>
            </w:r>
            <w:r w:rsidR="00090DBD">
              <w:rPr>
                <w:noProof/>
                <w:webHidden/>
              </w:rPr>
              <w:instrText xml:space="preserve"> PAGEREF _Toc395180701 \h </w:instrText>
            </w:r>
            <w:r w:rsidR="0071433F">
              <w:rPr>
                <w:noProof/>
                <w:webHidden/>
              </w:rPr>
            </w:r>
            <w:r w:rsidR="0071433F">
              <w:rPr>
                <w:noProof/>
                <w:webHidden/>
              </w:rPr>
              <w:fldChar w:fldCharType="separate"/>
            </w:r>
            <w:r w:rsidR="009E20FE">
              <w:rPr>
                <w:noProof/>
                <w:webHidden/>
              </w:rPr>
              <w:t>87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2" w:history="1">
            <w:r w:rsidR="00090DBD" w:rsidRPr="006E09EA">
              <w:rPr>
                <w:rStyle w:val="Hyperlink"/>
                <w:noProof/>
              </w:rPr>
              <w:t>D.23 Technology and Equipment</w:t>
            </w:r>
            <w:r w:rsidR="00090DBD">
              <w:rPr>
                <w:noProof/>
                <w:webHidden/>
              </w:rPr>
              <w:tab/>
            </w:r>
            <w:r w:rsidR="0071433F">
              <w:rPr>
                <w:noProof/>
                <w:webHidden/>
              </w:rPr>
              <w:fldChar w:fldCharType="begin"/>
            </w:r>
            <w:r w:rsidR="00090DBD">
              <w:rPr>
                <w:noProof/>
                <w:webHidden/>
              </w:rPr>
              <w:instrText xml:space="preserve"> PAGEREF _Toc395180702 \h </w:instrText>
            </w:r>
            <w:r w:rsidR="0071433F">
              <w:rPr>
                <w:noProof/>
                <w:webHidden/>
              </w:rPr>
            </w:r>
            <w:r w:rsidR="0071433F">
              <w:rPr>
                <w:noProof/>
                <w:webHidden/>
              </w:rPr>
              <w:fldChar w:fldCharType="separate"/>
            </w:r>
            <w:r w:rsidR="009E20FE">
              <w:rPr>
                <w:noProof/>
                <w:webHidden/>
              </w:rPr>
              <w:t>88</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3" w:history="1">
            <w:r w:rsidR="00090DBD" w:rsidRPr="006E09EA">
              <w:rPr>
                <w:rStyle w:val="Hyperlink"/>
                <w:noProof/>
              </w:rPr>
              <w:t>D.24 Instructional Materials</w:t>
            </w:r>
            <w:r w:rsidR="00090DBD">
              <w:rPr>
                <w:noProof/>
                <w:webHidden/>
              </w:rPr>
              <w:tab/>
            </w:r>
            <w:r w:rsidR="0071433F">
              <w:rPr>
                <w:noProof/>
                <w:webHidden/>
              </w:rPr>
              <w:fldChar w:fldCharType="begin"/>
            </w:r>
            <w:r w:rsidR="00090DBD">
              <w:rPr>
                <w:noProof/>
                <w:webHidden/>
              </w:rPr>
              <w:instrText xml:space="preserve"> PAGEREF _Toc395180703 \h </w:instrText>
            </w:r>
            <w:r w:rsidR="0071433F">
              <w:rPr>
                <w:noProof/>
                <w:webHidden/>
              </w:rPr>
            </w:r>
            <w:r w:rsidR="0071433F">
              <w:rPr>
                <w:noProof/>
                <w:webHidden/>
              </w:rPr>
              <w:fldChar w:fldCharType="separate"/>
            </w:r>
            <w:r w:rsidR="009E20FE">
              <w:rPr>
                <w:noProof/>
                <w:webHidden/>
              </w:rPr>
              <w:t>89</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4" w:history="1">
            <w:r w:rsidR="00090DBD" w:rsidRPr="006E09EA">
              <w:rPr>
                <w:rStyle w:val="Hyperlink"/>
                <w:noProof/>
              </w:rPr>
              <w:t>D.25 Short Cycle Formative Assessments</w:t>
            </w:r>
            <w:r w:rsidR="00090DBD">
              <w:rPr>
                <w:noProof/>
                <w:webHidden/>
              </w:rPr>
              <w:tab/>
            </w:r>
            <w:r w:rsidR="0071433F">
              <w:rPr>
                <w:noProof/>
                <w:webHidden/>
              </w:rPr>
              <w:fldChar w:fldCharType="begin"/>
            </w:r>
            <w:r w:rsidR="00090DBD">
              <w:rPr>
                <w:noProof/>
                <w:webHidden/>
              </w:rPr>
              <w:instrText xml:space="preserve"> PAGEREF _Toc395180704 \h </w:instrText>
            </w:r>
            <w:r w:rsidR="0071433F">
              <w:rPr>
                <w:noProof/>
                <w:webHidden/>
              </w:rPr>
            </w:r>
            <w:r w:rsidR="0071433F">
              <w:rPr>
                <w:noProof/>
                <w:webHidden/>
              </w:rPr>
              <w:fldChar w:fldCharType="separate"/>
            </w:r>
            <w:r w:rsidR="009E20FE">
              <w:rPr>
                <w:noProof/>
                <w:webHidden/>
              </w:rPr>
              <w:t>92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5" w:history="1">
            <w:r w:rsidR="00090DBD" w:rsidRPr="006E09EA">
              <w:rPr>
                <w:rStyle w:val="Hyperlink"/>
                <w:noProof/>
              </w:rPr>
              <w:t>D.26 Student Activities</w:t>
            </w:r>
            <w:r w:rsidR="00090DBD">
              <w:rPr>
                <w:noProof/>
                <w:webHidden/>
              </w:rPr>
              <w:tab/>
            </w:r>
            <w:r w:rsidR="0071433F">
              <w:rPr>
                <w:noProof/>
                <w:webHidden/>
              </w:rPr>
              <w:fldChar w:fldCharType="begin"/>
            </w:r>
            <w:r w:rsidR="00090DBD">
              <w:rPr>
                <w:noProof/>
                <w:webHidden/>
              </w:rPr>
              <w:instrText xml:space="preserve"> PAGEREF _Toc395180705 \h </w:instrText>
            </w:r>
            <w:r w:rsidR="0071433F">
              <w:rPr>
                <w:noProof/>
                <w:webHidden/>
              </w:rPr>
            </w:r>
            <w:r w:rsidR="0071433F">
              <w:rPr>
                <w:noProof/>
                <w:webHidden/>
              </w:rPr>
              <w:fldChar w:fldCharType="separate"/>
            </w:r>
            <w:r w:rsidR="009E20FE">
              <w:rPr>
                <w:noProof/>
                <w:webHidden/>
              </w:rPr>
              <w:t>93</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06" w:history="1">
            <w:r w:rsidR="00090DBD" w:rsidRPr="006E09EA">
              <w:rPr>
                <w:rStyle w:val="Hyperlink"/>
                <w:noProof/>
              </w:rPr>
              <w:t>E. District Resources</w:t>
            </w:r>
            <w:r w:rsidR="00090DBD">
              <w:rPr>
                <w:noProof/>
                <w:webHidden/>
              </w:rPr>
              <w:tab/>
            </w:r>
            <w:r w:rsidR="0071433F">
              <w:rPr>
                <w:noProof/>
                <w:webHidden/>
              </w:rPr>
              <w:fldChar w:fldCharType="begin"/>
            </w:r>
            <w:r w:rsidR="00090DBD">
              <w:rPr>
                <w:noProof/>
                <w:webHidden/>
              </w:rPr>
              <w:instrText xml:space="preserve"> PAGEREF _Toc395180706 \h </w:instrText>
            </w:r>
            <w:r w:rsidR="0071433F">
              <w:rPr>
                <w:noProof/>
                <w:webHidden/>
              </w:rPr>
            </w:r>
            <w:r w:rsidR="0071433F">
              <w:rPr>
                <w:noProof/>
                <w:webHidden/>
              </w:rPr>
              <w:fldChar w:fldCharType="separate"/>
            </w:r>
            <w:r w:rsidR="009E20FE">
              <w:rPr>
                <w:noProof/>
                <w:webHidden/>
              </w:rPr>
              <w:t>94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7" w:history="1">
            <w:r w:rsidR="00090DBD" w:rsidRPr="006E09EA">
              <w:rPr>
                <w:rStyle w:val="Hyperlink"/>
                <w:noProof/>
              </w:rPr>
              <w:t>E.25 Central Office</w:t>
            </w:r>
            <w:r w:rsidR="00090DBD">
              <w:rPr>
                <w:noProof/>
                <w:webHidden/>
              </w:rPr>
              <w:tab/>
            </w:r>
            <w:r w:rsidR="0071433F">
              <w:rPr>
                <w:noProof/>
                <w:webHidden/>
              </w:rPr>
              <w:fldChar w:fldCharType="begin"/>
            </w:r>
            <w:r w:rsidR="00090DBD">
              <w:rPr>
                <w:noProof/>
                <w:webHidden/>
              </w:rPr>
              <w:instrText xml:space="preserve"> PAGEREF _Toc395180707 \h </w:instrText>
            </w:r>
            <w:r w:rsidR="0071433F">
              <w:rPr>
                <w:noProof/>
                <w:webHidden/>
              </w:rPr>
            </w:r>
            <w:r w:rsidR="0071433F">
              <w:rPr>
                <w:noProof/>
                <w:webHidden/>
              </w:rPr>
              <w:fldChar w:fldCharType="separate"/>
            </w:r>
            <w:r w:rsidR="009E20FE">
              <w:rPr>
                <w:noProof/>
                <w:webHidden/>
              </w:rPr>
              <w:t>94</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08" w:history="1">
            <w:r w:rsidR="00090DBD" w:rsidRPr="006E09EA">
              <w:rPr>
                <w:rStyle w:val="Hyperlink"/>
                <w:noProof/>
              </w:rPr>
              <w:t>E.26 Maintenance and Operations</w:t>
            </w:r>
            <w:r w:rsidR="00090DBD">
              <w:rPr>
                <w:noProof/>
                <w:webHidden/>
              </w:rPr>
              <w:tab/>
            </w:r>
            <w:r w:rsidR="0071433F">
              <w:rPr>
                <w:noProof/>
                <w:webHidden/>
              </w:rPr>
              <w:fldChar w:fldCharType="begin"/>
            </w:r>
            <w:r w:rsidR="00090DBD">
              <w:rPr>
                <w:noProof/>
                <w:webHidden/>
              </w:rPr>
              <w:instrText xml:space="preserve"> PAGEREF _Toc395180708 \h </w:instrText>
            </w:r>
            <w:r w:rsidR="0071433F">
              <w:rPr>
                <w:noProof/>
                <w:webHidden/>
              </w:rPr>
            </w:r>
            <w:r w:rsidR="0071433F">
              <w:rPr>
                <w:noProof/>
                <w:webHidden/>
              </w:rPr>
              <w:fldChar w:fldCharType="separate"/>
            </w:r>
            <w:r w:rsidR="009E20FE">
              <w:rPr>
                <w:noProof/>
                <w:webHidden/>
              </w:rPr>
              <w:t>95</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09" w:history="1">
            <w:r w:rsidR="00090DBD" w:rsidRPr="006E09EA">
              <w:rPr>
                <w:rStyle w:val="Hyperlink"/>
                <w:noProof/>
              </w:rPr>
              <w:t>F.27 Regional Cost Adjustment Factor</w:t>
            </w:r>
            <w:r w:rsidR="00090DBD">
              <w:rPr>
                <w:noProof/>
                <w:webHidden/>
              </w:rPr>
              <w:tab/>
            </w:r>
            <w:r w:rsidR="0071433F">
              <w:rPr>
                <w:noProof/>
                <w:webHidden/>
              </w:rPr>
              <w:fldChar w:fldCharType="begin"/>
            </w:r>
            <w:r w:rsidR="00090DBD">
              <w:rPr>
                <w:noProof/>
                <w:webHidden/>
              </w:rPr>
              <w:instrText xml:space="preserve"> PAGEREF _Toc395180709 \h </w:instrText>
            </w:r>
            <w:r w:rsidR="0071433F">
              <w:rPr>
                <w:noProof/>
                <w:webHidden/>
              </w:rPr>
            </w:r>
            <w:r w:rsidR="0071433F">
              <w:rPr>
                <w:noProof/>
                <w:webHidden/>
              </w:rPr>
              <w:fldChar w:fldCharType="separate"/>
            </w:r>
            <w:r w:rsidR="009E20FE">
              <w:rPr>
                <w:noProof/>
                <w:webHidden/>
              </w:rPr>
              <w:t>99</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0" w:history="1">
            <w:r w:rsidR="00090DBD" w:rsidRPr="006E09EA">
              <w:rPr>
                <w:rStyle w:val="Hyperlink"/>
                <w:noProof/>
              </w:rPr>
              <w:t>G. Summary of Staffing and other Resources for Small Schools</w:t>
            </w:r>
            <w:r w:rsidR="00090DBD">
              <w:rPr>
                <w:noProof/>
                <w:webHidden/>
              </w:rPr>
              <w:tab/>
            </w:r>
            <w:r w:rsidR="0071433F">
              <w:rPr>
                <w:noProof/>
                <w:webHidden/>
              </w:rPr>
              <w:fldChar w:fldCharType="begin"/>
            </w:r>
            <w:r w:rsidR="00090DBD">
              <w:rPr>
                <w:noProof/>
                <w:webHidden/>
              </w:rPr>
              <w:instrText xml:space="preserve"> PAGEREF _Toc395180710 \h </w:instrText>
            </w:r>
            <w:r w:rsidR="0071433F">
              <w:rPr>
                <w:noProof/>
                <w:webHidden/>
              </w:rPr>
            </w:r>
            <w:r w:rsidR="0071433F">
              <w:rPr>
                <w:noProof/>
                <w:webHidden/>
              </w:rPr>
              <w:fldChar w:fldCharType="separate"/>
            </w:r>
            <w:r w:rsidR="009E20FE">
              <w:rPr>
                <w:noProof/>
                <w:webHidden/>
              </w:rPr>
              <w:t>100</w:t>
            </w:r>
            <w:r w:rsidR="0071433F">
              <w:rPr>
                <w:noProof/>
                <w:webHidden/>
              </w:rPr>
              <w:fldChar w:fldCharType="end"/>
            </w:r>
          </w:hyperlink>
        </w:p>
        <w:p w:rsidR="00090DBD" w:rsidRDefault="00803AF0">
          <w:pPr>
            <w:pStyle w:val="TOC1"/>
            <w:rPr>
              <w:rFonts w:asciiTheme="minorHAnsi" w:eastAsiaTheme="minorEastAsia" w:hAnsiTheme="minorHAnsi"/>
              <w:noProof/>
              <w:sz w:val="22"/>
            </w:rPr>
          </w:pPr>
          <w:hyperlink w:anchor="_Toc395180711" w:history="1">
            <w:r w:rsidR="00090DBD" w:rsidRPr="006E09EA">
              <w:rPr>
                <w:rStyle w:val="Hyperlink"/>
                <w:noProof/>
              </w:rPr>
              <w:t>References</w:t>
            </w:r>
            <w:r w:rsidR="00090DBD">
              <w:rPr>
                <w:noProof/>
                <w:webHidden/>
              </w:rPr>
              <w:tab/>
            </w:r>
            <w:r w:rsidR="0071433F">
              <w:rPr>
                <w:noProof/>
                <w:webHidden/>
              </w:rPr>
              <w:fldChar w:fldCharType="begin"/>
            </w:r>
            <w:r w:rsidR="00090DBD">
              <w:rPr>
                <w:noProof/>
                <w:webHidden/>
              </w:rPr>
              <w:instrText xml:space="preserve"> PAGEREF _Toc395180711 \h </w:instrText>
            </w:r>
            <w:r w:rsidR="0071433F">
              <w:rPr>
                <w:noProof/>
                <w:webHidden/>
              </w:rPr>
            </w:r>
            <w:r w:rsidR="0071433F">
              <w:rPr>
                <w:noProof/>
                <w:webHidden/>
              </w:rPr>
              <w:fldChar w:fldCharType="separate"/>
            </w:r>
            <w:r w:rsidR="009E20FE">
              <w:rPr>
                <w:noProof/>
                <w:webHidden/>
              </w:rPr>
              <w:t>101</w:t>
            </w:r>
            <w:r w:rsidR="0071433F">
              <w:rPr>
                <w:noProof/>
                <w:webHidden/>
              </w:rPr>
              <w:fldChar w:fldCharType="end"/>
            </w:r>
          </w:hyperlink>
        </w:p>
        <w:p w:rsidR="00090DBD" w:rsidRDefault="00803AF0">
          <w:pPr>
            <w:pStyle w:val="TOC1"/>
            <w:rPr>
              <w:rFonts w:asciiTheme="minorHAnsi" w:eastAsiaTheme="minorEastAsia" w:hAnsiTheme="minorHAnsi"/>
              <w:noProof/>
              <w:sz w:val="22"/>
            </w:rPr>
          </w:pPr>
          <w:hyperlink w:anchor="_Toc395180712" w:history="1">
            <w:r w:rsidR="00090DBD" w:rsidRPr="006E09EA">
              <w:rPr>
                <w:rStyle w:val="Hyperlink"/>
                <w:noProof/>
              </w:rPr>
              <w:t>APPENDIX A:  Additional Information on Components</w:t>
            </w:r>
            <w:r w:rsidR="00090DBD">
              <w:rPr>
                <w:noProof/>
                <w:webHidden/>
              </w:rPr>
              <w:tab/>
            </w:r>
            <w:r w:rsidR="0071433F">
              <w:rPr>
                <w:noProof/>
                <w:webHidden/>
              </w:rPr>
              <w:fldChar w:fldCharType="begin"/>
            </w:r>
            <w:r w:rsidR="00090DBD">
              <w:rPr>
                <w:noProof/>
                <w:webHidden/>
              </w:rPr>
              <w:instrText xml:space="preserve"> PAGEREF _Toc395180712 \h </w:instrText>
            </w:r>
            <w:r w:rsidR="0071433F">
              <w:rPr>
                <w:noProof/>
                <w:webHidden/>
              </w:rPr>
            </w:r>
            <w:r w:rsidR="0071433F">
              <w:rPr>
                <w:noProof/>
                <w:webHidden/>
              </w:rPr>
              <w:fldChar w:fldCharType="separate"/>
            </w:r>
            <w:r w:rsidR="009E20FE">
              <w:rPr>
                <w:noProof/>
                <w:webHidden/>
              </w:rPr>
              <w:t>115</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3" w:history="1">
            <w:r w:rsidR="00090DBD" w:rsidRPr="006E09EA">
              <w:rPr>
                <w:rStyle w:val="Hyperlink"/>
                <w:noProof/>
              </w:rPr>
              <w:t>Career and Technical Education</w:t>
            </w:r>
            <w:r w:rsidR="00090DBD">
              <w:rPr>
                <w:noProof/>
                <w:webHidden/>
              </w:rPr>
              <w:tab/>
            </w:r>
            <w:r w:rsidR="0071433F">
              <w:rPr>
                <w:noProof/>
                <w:webHidden/>
              </w:rPr>
              <w:fldChar w:fldCharType="begin"/>
            </w:r>
            <w:r w:rsidR="00090DBD">
              <w:rPr>
                <w:noProof/>
                <w:webHidden/>
              </w:rPr>
              <w:instrText xml:space="preserve"> PAGEREF _Toc395180713 \h </w:instrText>
            </w:r>
            <w:r w:rsidR="0071433F">
              <w:rPr>
                <w:noProof/>
                <w:webHidden/>
              </w:rPr>
            </w:r>
            <w:r w:rsidR="0071433F">
              <w:rPr>
                <w:noProof/>
                <w:webHidden/>
              </w:rPr>
              <w:fldChar w:fldCharType="separate"/>
            </w:r>
            <w:r w:rsidR="009E20FE">
              <w:rPr>
                <w:noProof/>
                <w:webHidden/>
              </w:rPr>
              <w:t>115</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4" w:history="1">
            <w:r w:rsidR="00090DBD" w:rsidRPr="006E09EA">
              <w:rPr>
                <w:rStyle w:val="Hyperlink"/>
                <w:noProof/>
              </w:rPr>
              <w:t>Professional Development</w:t>
            </w:r>
            <w:r w:rsidR="00090DBD">
              <w:rPr>
                <w:noProof/>
                <w:webHidden/>
              </w:rPr>
              <w:tab/>
            </w:r>
            <w:r w:rsidR="0071433F">
              <w:rPr>
                <w:noProof/>
                <w:webHidden/>
              </w:rPr>
              <w:fldChar w:fldCharType="begin"/>
            </w:r>
            <w:r w:rsidR="00090DBD">
              <w:rPr>
                <w:noProof/>
                <w:webHidden/>
              </w:rPr>
              <w:instrText xml:space="preserve"> PAGEREF _Toc395180714 \h </w:instrText>
            </w:r>
            <w:r w:rsidR="0071433F">
              <w:rPr>
                <w:noProof/>
                <w:webHidden/>
              </w:rPr>
            </w:r>
            <w:r w:rsidR="0071433F">
              <w:rPr>
                <w:noProof/>
                <w:webHidden/>
              </w:rPr>
              <w:fldChar w:fldCharType="separate"/>
            </w:r>
            <w:r w:rsidR="009E20FE">
              <w:rPr>
                <w:noProof/>
                <w:webHidden/>
              </w:rPr>
              <w:t>116</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5" w:history="1">
            <w:r w:rsidR="00090DBD" w:rsidRPr="006E09EA">
              <w:rPr>
                <w:rStyle w:val="Hyperlink"/>
                <w:noProof/>
              </w:rPr>
              <w:t>Instructional Materials</w:t>
            </w:r>
            <w:r w:rsidR="00090DBD">
              <w:rPr>
                <w:noProof/>
                <w:webHidden/>
              </w:rPr>
              <w:tab/>
            </w:r>
            <w:r w:rsidR="0071433F">
              <w:rPr>
                <w:noProof/>
                <w:webHidden/>
              </w:rPr>
              <w:fldChar w:fldCharType="begin"/>
            </w:r>
            <w:r w:rsidR="00090DBD">
              <w:rPr>
                <w:noProof/>
                <w:webHidden/>
              </w:rPr>
              <w:instrText xml:space="preserve"> PAGEREF _Toc395180715 \h </w:instrText>
            </w:r>
            <w:r w:rsidR="0071433F">
              <w:rPr>
                <w:noProof/>
                <w:webHidden/>
              </w:rPr>
            </w:r>
            <w:r w:rsidR="0071433F">
              <w:rPr>
                <w:noProof/>
                <w:webHidden/>
              </w:rPr>
              <w:fldChar w:fldCharType="separate"/>
            </w:r>
            <w:r w:rsidR="009E20FE">
              <w:rPr>
                <w:noProof/>
                <w:webHidden/>
              </w:rPr>
              <w:t>118</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6" w:history="1">
            <w:r w:rsidR="00090DBD" w:rsidRPr="006E09EA">
              <w:rPr>
                <w:rStyle w:val="Hyperlink"/>
                <w:noProof/>
              </w:rPr>
              <w:t>Regional Cost Adjustments</w:t>
            </w:r>
            <w:r w:rsidR="00090DBD">
              <w:rPr>
                <w:noProof/>
                <w:webHidden/>
              </w:rPr>
              <w:tab/>
            </w:r>
            <w:r w:rsidR="0071433F">
              <w:rPr>
                <w:noProof/>
                <w:webHidden/>
              </w:rPr>
              <w:fldChar w:fldCharType="begin"/>
            </w:r>
            <w:r w:rsidR="00090DBD">
              <w:rPr>
                <w:noProof/>
                <w:webHidden/>
              </w:rPr>
              <w:instrText xml:space="preserve"> PAGEREF _Toc395180716 \h </w:instrText>
            </w:r>
            <w:r w:rsidR="0071433F">
              <w:rPr>
                <w:noProof/>
                <w:webHidden/>
              </w:rPr>
            </w:r>
            <w:r w:rsidR="0071433F">
              <w:rPr>
                <w:noProof/>
                <w:webHidden/>
              </w:rPr>
              <w:fldChar w:fldCharType="separate"/>
            </w:r>
            <w:r w:rsidR="009E20FE">
              <w:rPr>
                <w:noProof/>
                <w:webHidden/>
              </w:rPr>
              <w:t>119</w:t>
            </w:r>
            <w:r w:rsidR="0071433F">
              <w:rPr>
                <w:noProof/>
                <w:webHidden/>
              </w:rPr>
              <w:fldChar w:fldCharType="end"/>
            </w:r>
          </w:hyperlink>
        </w:p>
        <w:p w:rsidR="00090DBD" w:rsidRDefault="00803AF0">
          <w:pPr>
            <w:pStyle w:val="TOC1"/>
            <w:rPr>
              <w:rFonts w:asciiTheme="minorHAnsi" w:eastAsiaTheme="minorEastAsia" w:hAnsiTheme="minorHAnsi"/>
              <w:noProof/>
              <w:sz w:val="22"/>
            </w:rPr>
          </w:pPr>
          <w:hyperlink w:anchor="_Toc395180717" w:history="1">
            <w:r w:rsidR="00090DBD" w:rsidRPr="006E09EA">
              <w:rPr>
                <w:rStyle w:val="Hyperlink"/>
                <w:noProof/>
              </w:rPr>
              <w:t>APPENDIX B:  Comparing Kentucky’s Education System to High Achieving States</w:t>
            </w:r>
            <w:r w:rsidR="00090DBD">
              <w:rPr>
                <w:noProof/>
                <w:webHidden/>
              </w:rPr>
              <w:tab/>
            </w:r>
            <w:r w:rsidR="0071433F">
              <w:rPr>
                <w:noProof/>
                <w:webHidden/>
              </w:rPr>
              <w:fldChar w:fldCharType="begin"/>
            </w:r>
            <w:r w:rsidR="00090DBD">
              <w:rPr>
                <w:noProof/>
                <w:webHidden/>
              </w:rPr>
              <w:instrText xml:space="preserve"> PAGEREF _Toc395180717 \h </w:instrText>
            </w:r>
            <w:r w:rsidR="0071433F">
              <w:rPr>
                <w:noProof/>
                <w:webHidden/>
              </w:rPr>
            </w:r>
            <w:r w:rsidR="0071433F">
              <w:rPr>
                <w:noProof/>
                <w:webHidden/>
              </w:rPr>
              <w:fldChar w:fldCharType="separate"/>
            </w:r>
            <w:r w:rsidR="009E20FE">
              <w:rPr>
                <w:noProof/>
                <w:webHidden/>
              </w:rPr>
              <w:t>121</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8" w:history="1">
            <w:r w:rsidR="00090DBD" w:rsidRPr="006E09EA">
              <w:rPr>
                <w:rStyle w:val="Hyperlink"/>
                <w:noProof/>
              </w:rPr>
              <w:t>Identifying Which States are High Achieving</w:t>
            </w:r>
            <w:r w:rsidR="00090DBD">
              <w:rPr>
                <w:noProof/>
                <w:webHidden/>
              </w:rPr>
              <w:tab/>
            </w:r>
            <w:r w:rsidR="0071433F">
              <w:rPr>
                <w:noProof/>
                <w:webHidden/>
              </w:rPr>
              <w:fldChar w:fldCharType="begin"/>
            </w:r>
            <w:r w:rsidR="00090DBD">
              <w:rPr>
                <w:noProof/>
                <w:webHidden/>
              </w:rPr>
              <w:instrText xml:space="preserve"> PAGEREF _Toc395180718 \h </w:instrText>
            </w:r>
            <w:r w:rsidR="0071433F">
              <w:rPr>
                <w:noProof/>
                <w:webHidden/>
              </w:rPr>
            </w:r>
            <w:r w:rsidR="0071433F">
              <w:rPr>
                <w:noProof/>
                <w:webHidden/>
              </w:rPr>
              <w:fldChar w:fldCharType="separate"/>
            </w:r>
            <w:r w:rsidR="009E20FE">
              <w:rPr>
                <w:noProof/>
                <w:webHidden/>
              </w:rPr>
              <w:t>121</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19" w:history="1">
            <w:r w:rsidR="00090DBD" w:rsidRPr="006E09EA">
              <w:rPr>
                <w:rStyle w:val="Hyperlink"/>
                <w:noProof/>
              </w:rPr>
              <w:t>Educational Outcomes</w:t>
            </w:r>
            <w:r w:rsidR="00090DBD">
              <w:rPr>
                <w:noProof/>
                <w:webHidden/>
              </w:rPr>
              <w:tab/>
            </w:r>
            <w:r w:rsidR="0071433F">
              <w:rPr>
                <w:noProof/>
                <w:webHidden/>
              </w:rPr>
              <w:fldChar w:fldCharType="begin"/>
            </w:r>
            <w:r w:rsidR="00090DBD">
              <w:rPr>
                <w:noProof/>
                <w:webHidden/>
              </w:rPr>
              <w:instrText xml:space="preserve"> PAGEREF _Toc395180719 \h </w:instrText>
            </w:r>
            <w:r w:rsidR="0071433F">
              <w:rPr>
                <w:noProof/>
                <w:webHidden/>
              </w:rPr>
            </w:r>
            <w:r w:rsidR="0071433F">
              <w:rPr>
                <w:noProof/>
                <w:webHidden/>
              </w:rPr>
              <w:fldChar w:fldCharType="separate"/>
            </w:r>
            <w:r w:rsidR="009E20FE">
              <w:rPr>
                <w:noProof/>
                <w:webHidden/>
              </w:rPr>
              <w:t>122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20" w:history="1">
            <w:r w:rsidR="00090DBD" w:rsidRPr="006E09EA">
              <w:rPr>
                <w:rStyle w:val="Hyperlink"/>
                <w:noProof/>
              </w:rPr>
              <w:t>NAEP Math and Reading Results</w:t>
            </w:r>
            <w:r w:rsidR="00090DBD">
              <w:rPr>
                <w:noProof/>
                <w:webHidden/>
              </w:rPr>
              <w:tab/>
            </w:r>
            <w:r w:rsidR="0071433F">
              <w:rPr>
                <w:noProof/>
                <w:webHidden/>
              </w:rPr>
              <w:fldChar w:fldCharType="begin"/>
            </w:r>
            <w:r w:rsidR="00090DBD">
              <w:rPr>
                <w:noProof/>
                <w:webHidden/>
              </w:rPr>
              <w:instrText xml:space="preserve"> PAGEREF _Toc395180720 \h </w:instrText>
            </w:r>
            <w:r w:rsidR="0071433F">
              <w:rPr>
                <w:noProof/>
                <w:webHidden/>
              </w:rPr>
            </w:r>
            <w:r w:rsidR="0071433F">
              <w:rPr>
                <w:noProof/>
                <w:webHidden/>
              </w:rPr>
              <w:fldChar w:fldCharType="separate"/>
            </w:r>
            <w:r w:rsidR="009E20FE">
              <w:rPr>
                <w:noProof/>
                <w:webHidden/>
              </w:rPr>
              <w:t>122</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21" w:history="1">
            <w:r w:rsidR="00090DBD" w:rsidRPr="006E09EA">
              <w:rPr>
                <w:rStyle w:val="Hyperlink"/>
                <w:noProof/>
              </w:rPr>
              <w:t>High School Graduation Rates</w:t>
            </w:r>
            <w:r w:rsidR="00090DBD">
              <w:rPr>
                <w:noProof/>
                <w:webHidden/>
              </w:rPr>
              <w:tab/>
            </w:r>
            <w:r w:rsidR="0071433F">
              <w:rPr>
                <w:noProof/>
                <w:webHidden/>
              </w:rPr>
              <w:fldChar w:fldCharType="begin"/>
            </w:r>
            <w:r w:rsidR="00090DBD">
              <w:rPr>
                <w:noProof/>
                <w:webHidden/>
              </w:rPr>
              <w:instrText xml:space="preserve"> PAGEREF _Toc395180721 \h </w:instrText>
            </w:r>
            <w:r w:rsidR="0071433F">
              <w:rPr>
                <w:noProof/>
                <w:webHidden/>
              </w:rPr>
            </w:r>
            <w:r w:rsidR="0071433F">
              <w:rPr>
                <w:noProof/>
                <w:webHidden/>
              </w:rPr>
              <w:fldChar w:fldCharType="separate"/>
            </w:r>
            <w:r w:rsidR="009E20FE">
              <w:rPr>
                <w:noProof/>
                <w:webHidden/>
              </w:rPr>
              <w:t>124</w:t>
            </w:r>
            <w:r w:rsidR="0071433F">
              <w:rPr>
                <w:noProof/>
                <w:webHidden/>
              </w:rPr>
              <w:fldChar w:fldCharType="end"/>
            </w:r>
          </w:hyperlink>
        </w:p>
        <w:p w:rsidR="00090DBD" w:rsidRDefault="00803AF0">
          <w:pPr>
            <w:pStyle w:val="TOC2"/>
            <w:rPr>
              <w:rFonts w:asciiTheme="minorHAnsi" w:eastAsiaTheme="minorEastAsia" w:hAnsiTheme="minorHAnsi"/>
              <w:noProof/>
              <w:sz w:val="22"/>
            </w:rPr>
          </w:pPr>
          <w:hyperlink w:anchor="_Toc395180722" w:history="1">
            <w:r w:rsidR="00090DBD" w:rsidRPr="006E09EA">
              <w:rPr>
                <w:rStyle w:val="Hyperlink"/>
                <w:noProof/>
              </w:rPr>
              <w:t>Educational Expenditures</w:t>
            </w:r>
            <w:r w:rsidR="00090DBD">
              <w:rPr>
                <w:noProof/>
                <w:webHidden/>
              </w:rPr>
              <w:tab/>
            </w:r>
            <w:r w:rsidR="0071433F">
              <w:rPr>
                <w:noProof/>
                <w:webHidden/>
              </w:rPr>
              <w:fldChar w:fldCharType="begin"/>
            </w:r>
            <w:r w:rsidR="00090DBD">
              <w:rPr>
                <w:noProof/>
                <w:webHidden/>
              </w:rPr>
              <w:instrText xml:space="preserve"> PAGEREF _Toc395180722 \h </w:instrText>
            </w:r>
            <w:r w:rsidR="0071433F">
              <w:rPr>
                <w:noProof/>
                <w:webHidden/>
              </w:rPr>
            </w:r>
            <w:r w:rsidR="0071433F">
              <w:rPr>
                <w:noProof/>
                <w:webHidden/>
              </w:rPr>
              <w:fldChar w:fldCharType="separate"/>
            </w:r>
            <w:r w:rsidR="009E20FE">
              <w:rPr>
                <w:noProof/>
                <w:webHidden/>
              </w:rPr>
              <w:t>125</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23" w:history="1">
            <w:r w:rsidR="00090DBD" w:rsidRPr="006E09EA">
              <w:rPr>
                <w:rStyle w:val="Hyperlink"/>
                <w:noProof/>
              </w:rPr>
              <w:t>Household Income</w:t>
            </w:r>
            <w:r w:rsidR="00090DBD">
              <w:rPr>
                <w:noProof/>
                <w:webHidden/>
              </w:rPr>
              <w:tab/>
            </w:r>
            <w:r w:rsidR="0071433F">
              <w:rPr>
                <w:noProof/>
                <w:webHidden/>
              </w:rPr>
              <w:fldChar w:fldCharType="begin"/>
            </w:r>
            <w:r w:rsidR="00090DBD">
              <w:rPr>
                <w:noProof/>
                <w:webHidden/>
              </w:rPr>
              <w:instrText xml:space="preserve"> PAGEREF _Toc395180723 \h </w:instrText>
            </w:r>
            <w:r w:rsidR="0071433F">
              <w:rPr>
                <w:noProof/>
                <w:webHidden/>
              </w:rPr>
            </w:r>
            <w:r w:rsidR="0071433F">
              <w:rPr>
                <w:noProof/>
                <w:webHidden/>
              </w:rPr>
              <w:fldChar w:fldCharType="separate"/>
            </w:r>
            <w:r w:rsidR="009E20FE">
              <w:rPr>
                <w:noProof/>
                <w:webHidden/>
              </w:rPr>
              <w:t>127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24" w:history="1">
            <w:r w:rsidR="00090DBD" w:rsidRPr="006E09EA">
              <w:rPr>
                <w:rStyle w:val="Hyperlink"/>
                <w:noProof/>
              </w:rPr>
              <w:t>Relative Effort</w:t>
            </w:r>
            <w:r w:rsidR="00090DBD">
              <w:rPr>
                <w:noProof/>
                <w:webHidden/>
              </w:rPr>
              <w:tab/>
            </w:r>
            <w:r w:rsidR="0071433F">
              <w:rPr>
                <w:noProof/>
                <w:webHidden/>
              </w:rPr>
              <w:fldChar w:fldCharType="begin"/>
            </w:r>
            <w:r w:rsidR="00090DBD">
              <w:rPr>
                <w:noProof/>
                <w:webHidden/>
              </w:rPr>
              <w:instrText xml:space="preserve"> PAGEREF _Toc395180724 \h </w:instrText>
            </w:r>
            <w:r w:rsidR="0071433F">
              <w:rPr>
                <w:noProof/>
                <w:webHidden/>
              </w:rPr>
            </w:r>
            <w:r w:rsidR="0071433F">
              <w:rPr>
                <w:noProof/>
                <w:webHidden/>
              </w:rPr>
              <w:fldChar w:fldCharType="separate"/>
            </w:r>
            <w:r w:rsidR="009E20FE">
              <w:rPr>
                <w:noProof/>
                <w:webHidden/>
              </w:rPr>
              <w:t>127</w:t>
            </w:r>
            <w:r w:rsidR="0071433F">
              <w:rPr>
                <w:noProof/>
                <w:webHidden/>
              </w:rPr>
              <w:fldChar w:fldCharType="end"/>
            </w:r>
          </w:hyperlink>
        </w:p>
        <w:p w:rsidR="00090DBD" w:rsidRDefault="00803AF0">
          <w:pPr>
            <w:pStyle w:val="TOC3"/>
            <w:rPr>
              <w:rFonts w:asciiTheme="minorHAnsi" w:eastAsiaTheme="minorEastAsia" w:hAnsiTheme="minorHAnsi"/>
              <w:noProof/>
              <w:sz w:val="22"/>
            </w:rPr>
          </w:pPr>
          <w:hyperlink w:anchor="_Toc395180725" w:history="1">
            <w:r w:rsidR="00090DBD" w:rsidRPr="006E09EA">
              <w:rPr>
                <w:rStyle w:val="Hyperlink"/>
                <w:noProof/>
              </w:rPr>
              <w:t>Enrollment Information</w:t>
            </w:r>
            <w:r w:rsidR="00090DBD">
              <w:rPr>
                <w:noProof/>
                <w:webHidden/>
              </w:rPr>
              <w:tab/>
            </w:r>
            <w:r w:rsidR="0071433F">
              <w:rPr>
                <w:noProof/>
                <w:webHidden/>
              </w:rPr>
              <w:fldChar w:fldCharType="begin"/>
            </w:r>
            <w:r w:rsidR="00090DBD">
              <w:rPr>
                <w:noProof/>
                <w:webHidden/>
              </w:rPr>
              <w:instrText xml:space="preserve"> PAGEREF _Toc395180725 \h </w:instrText>
            </w:r>
            <w:r w:rsidR="0071433F">
              <w:rPr>
                <w:noProof/>
                <w:webHidden/>
              </w:rPr>
            </w:r>
            <w:r w:rsidR="0071433F">
              <w:rPr>
                <w:noProof/>
                <w:webHidden/>
              </w:rPr>
              <w:fldChar w:fldCharType="separate"/>
            </w:r>
            <w:r w:rsidR="009E20FE">
              <w:rPr>
                <w:noProof/>
                <w:webHidden/>
              </w:rPr>
              <w:t>128</w:t>
            </w:r>
            <w:r w:rsidR="0071433F">
              <w:rPr>
                <w:noProof/>
                <w:webHidden/>
              </w:rPr>
              <w:fldChar w:fldCharType="end"/>
            </w:r>
          </w:hyperlink>
        </w:p>
        <w:p w:rsidR="009122EB" w:rsidRPr="00F40195" w:rsidRDefault="0071433F" w:rsidP="00F40195">
          <w:pPr>
            <w:spacing w:line="240" w:lineRule="auto"/>
            <w:rPr>
              <w:rFonts w:cs="Times New Roman"/>
            </w:rPr>
          </w:pPr>
          <w:r w:rsidRPr="00F40195">
            <w:rPr>
              <w:rFonts w:cs="Times New Roman"/>
              <w:b/>
              <w:bCs/>
              <w:noProof/>
            </w:rPr>
            <w:fldChar w:fldCharType="end"/>
          </w:r>
        </w:p>
      </w:sdtContent>
    </w:sdt>
    <w:p w:rsidR="00404F18" w:rsidRPr="00F40195" w:rsidRDefault="00404F18" w:rsidP="00F40195">
      <w:pPr>
        <w:spacing w:line="240" w:lineRule="auto"/>
        <w:rPr>
          <w:rFonts w:eastAsia="Times New Roman" w:cs="Times New Roman"/>
          <w:b/>
          <w:bCs/>
          <w:caps/>
          <w:szCs w:val="28"/>
        </w:rPr>
        <w:sectPr w:rsidR="00404F18" w:rsidRPr="00F40195" w:rsidSect="00CC79D7">
          <w:headerReference w:type="default" r:id="rId19"/>
          <w:headerReference w:type="first" r:id="rId20"/>
          <w:type w:val="continuous"/>
          <w:pgSz w:w="12240" w:h="15840" w:code="1"/>
          <w:pgMar w:top="1440" w:right="1440" w:bottom="1440" w:left="1440" w:header="720" w:footer="720" w:gutter="0"/>
          <w:cols w:space="720"/>
          <w:docGrid w:linePitch="360"/>
        </w:sectPr>
      </w:pPr>
    </w:p>
    <w:bookmarkEnd w:id="0"/>
    <w:p w:rsidR="002956F3" w:rsidRPr="00F40195" w:rsidRDefault="002956F3" w:rsidP="007162A8">
      <w:pPr>
        <w:pStyle w:val="Heading1"/>
      </w:pPr>
    </w:p>
    <w:p w:rsidR="00BB75E2" w:rsidRPr="00F40195" w:rsidRDefault="00BB75E2" w:rsidP="00F40195">
      <w:pPr>
        <w:spacing w:line="240" w:lineRule="auto"/>
        <w:rPr>
          <w:rFonts w:eastAsia="Times New Roman" w:cs="Times New Roman"/>
          <w:b/>
          <w:bCs/>
          <w:caps/>
          <w:szCs w:val="28"/>
        </w:rPr>
      </w:pPr>
      <w:r w:rsidRPr="00F40195">
        <w:rPr>
          <w:rFonts w:eastAsia="Times New Roman" w:cs="Times New Roman"/>
          <w:b/>
          <w:bCs/>
          <w:caps/>
          <w:szCs w:val="28"/>
        </w:rPr>
        <w:br w:type="page"/>
      </w:r>
    </w:p>
    <w:p w:rsidR="00A62AAE" w:rsidRDefault="00A62AAE" w:rsidP="007162A8">
      <w:pPr>
        <w:pStyle w:val="Heading1"/>
      </w:pPr>
      <w:bookmarkStart w:id="2" w:name="_Toc395180635"/>
      <w:r>
        <w:lastRenderedPageBreak/>
        <w:t>Executive Summary</w:t>
      </w:r>
      <w:bookmarkEnd w:id="2"/>
    </w:p>
    <w:p w:rsidR="00CC79D7" w:rsidRDefault="00CC79D7" w:rsidP="00CC79D7">
      <w:pPr>
        <w:spacing w:line="240" w:lineRule="auto"/>
        <w:jc w:val="center"/>
        <w:rPr>
          <w:rFonts w:cs="Times New Roman"/>
          <w:b/>
          <w:bCs/>
          <w:smallCaps/>
          <w:szCs w:val="24"/>
        </w:rPr>
      </w:pPr>
      <w:r w:rsidRPr="00CC79D7">
        <w:rPr>
          <w:rFonts w:cs="Times New Roman"/>
          <w:b/>
          <w:bCs/>
          <w:smallCaps/>
          <w:szCs w:val="24"/>
        </w:rPr>
        <w:t>Adequacy for Excellence in Kentucky</w:t>
      </w:r>
    </w:p>
    <w:p w:rsidR="00CC79D7" w:rsidRDefault="00CC79D7" w:rsidP="00CC79D7">
      <w:pPr>
        <w:spacing w:line="240" w:lineRule="auto"/>
        <w:jc w:val="center"/>
        <w:rPr>
          <w:rFonts w:cs="Times New Roman"/>
        </w:rPr>
      </w:pPr>
      <w:r>
        <w:rPr>
          <w:rFonts w:cs="Times New Roman"/>
        </w:rPr>
        <w:t>Picus Odden &amp; Associates</w:t>
      </w:r>
    </w:p>
    <w:p w:rsidR="00CC79D7" w:rsidRDefault="00C01F05" w:rsidP="00CC79D7">
      <w:pPr>
        <w:spacing w:line="240" w:lineRule="auto"/>
        <w:jc w:val="center"/>
        <w:rPr>
          <w:rFonts w:cs="Times New Roman"/>
        </w:rPr>
      </w:pPr>
      <w:r>
        <w:rPr>
          <w:rFonts w:cs="Times New Roman"/>
        </w:rPr>
        <w:t>August</w:t>
      </w:r>
      <w:r w:rsidR="00CC79D7">
        <w:rPr>
          <w:rFonts w:cs="Times New Roman"/>
        </w:rPr>
        <w:t xml:space="preserve"> 2014</w:t>
      </w:r>
    </w:p>
    <w:p w:rsidR="006713BD" w:rsidRDefault="006713BD" w:rsidP="005468C1">
      <w:pPr>
        <w:widowControl w:val="0"/>
        <w:autoSpaceDE w:val="0"/>
        <w:autoSpaceDN w:val="0"/>
        <w:adjustRightInd w:val="0"/>
        <w:spacing w:line="240" w:lineRule="auto"/>
        <w:rPr>
          <w:rFonts w:eastAsiaTheme="minorEastAsia" w:cs="Times New Roman"/>
          <w:szCs w:val="24"/>
        </w:rPr>
      </w:pPr>
    </w:p>
    <w:p w:rsidR="006713BD" w:rsidRDefault="00AD07D9" w:rsidP="005468C1">
      <w:pPr>
        <w:widowControl w:val="0"/>
        <w:autoSpaceDE w:val="0"/>
        <w:autoSpaceDN w:val="0"/>
        <w:adjustRightInd w:val="0"/>
        <w:spacing w:line="240" w:lineRule="auto"/>
        <w:rPr>
          <w:rFonts w:eastAsiaTheme="minorEastAsia" w:cs="Times New Roman"/>
          <w:szCs w:val="24"/>
        </w:rPr>
      </w:pPr>
      <w:r w:rsidRPr="00F40195">
        <w:rPr>
          <w:rFonts w:cs="Times New Roman"/>
        </w:rPr>
        <w:t>This document describes Picus Odden &amp; Associate</w:t>
      </w:r>
      <w:r>
        <w:rPr>
          <w:rFonts w:cs="Times New Roman"/>
        </w:rPr>
        <w:t>’</w:t>
      </w:r>
      <w:r w:rsidRPr="00F40195">
        <w:rPr>
          <w:rFonts w:cs="Times New Roman"/>
        </w:rPr>
        <w:t>s findings from a contemporary, independent review of Kentucky’s school finance system</w:t>
      </w:r>
      <w:r>
        <w:rPr>
          <w:rFonts w:cs="Times New Roman"/>
        </w:rPr>
        <w:t>. U</w:t>
      </w:r>
      <w:r w:rsidR="006713BD">
        <w:rPr>
          <w:rFonts w:eastAsiaTheme="minorEastAsia" w:cs="Times New Roman"/>
          <w:szCs w:val="24"/>
        </w:rPr>
        <w:t>nder contract with the Cou</w:t>
      </w:r>
      <w:r>
        <w:rPr>
          <w:rFonts w:eastAsiaTheme="minorEastAsia" w:cs="Times New Roman"/>
          <w:szCs w:val="24"/>
        </w:rPr>
        <w:t>ncil for Better Education (CBE),</w:t>
      </w:r>
      <w:r w:rsidR="00057F1D">
        <w:rPr>
          <w:rStyle w:val="FootnoteReference"/>
          <w:rFonts w:eastAsiaTheme="minorEastAsia" w:cs="Times New Roman"/>
          <w:szCs w:val="24"/>
        </w:rPr>
        <w:footnoteReference w:id="1"/>
      </w:r>
      <w:r>
        <w:rPr>
          <w:rFonts w:eastAsiaTheme="minorEastAsia" w:cs="Times New Roman"/>
          <w:szCs w:val="24"/>
        </w:rPr>
        <w:t xml:space="preserve"> t</w:t>
      </w:r>
      <w:r w:rsidR="006713BD">
        <w:rPr>
          <w:rFonts w:eastAsiaTheme="minorEastAsia" w:cs="Times New Roman"/>
          <w:szCs w:val="24"/>
        </w:rPr>
        <w:t xml:space="preserve">he study, </w:t>
      </w:r>
      <w:r w:rsidR="00A51799">
        <w:rPr>
          <w:rFonts w:eastAsiaTheme="minorEastAsia" w:cs="Times New Roman"/>
          <w:szCs w:val="24"/>
        </w:rPr>
        <w:t xml:space="preserve">conducted </w:t>
      </w:r>
      <w:r w:rsidR="006713BD">
        <w:rPr>
          <w:rFonts w:eastAsiaTheme="minorEastAsia" w:cs="Times New Roman"/>
          <w:szCs w:val="24"/>
        </w:rPr>
        <w:t xml:space="preserve">December 2013 </w:t>
      </w:r>
      <w:r w:rsidR="00D536CC">
        <w:rPr>
          <w:rFonts w:eastAsiaTheme="minorEastAsia" w:cs="Times New Roman"/>
          <w:szCs w:val="24"/>
        </w:rPr>
        <w:t>through</w:t>
      </w:r>
      <w:r w:rsidR="006713BD">
        <w:rPr>
          <w:rFonts w:eastAsiaTheme="minorEastAsia" w:cs="Times New Roman"/>
          <w:szCs w:val="24"/>
        </w:rPr>
        <w:t xml:space="preserve"> </w:t>
      </w:r>
      <w:r w:rsidR="00E4751F">
        <w:rPr>
          <w:rFonts w:eastAsiaTheme="minorEastAsia" w:cs="Times New Roman"/>
          <w:szCs w:val="24"/>
        </w:rPr>
        <w:t>August</w:t>
      </w:r>
      <w:r w:rsidR="00F25165">
        <w:rPr>
          <w:rFonts w:eastAsiaTheme="minorEastAsia" w:cs="Times New Roman"/>
          <w:szCs w:val="24"/>
        </w:rPr>
        <w:t xml:space="preserve"> </w:t>
      </w:r>
      <w:r w:rsidR="00D170B9">
        <w:rPr>
          <w:rFonts w:eastAsiaTheme="minorEastAsia" w:cs="Times New Roman"/>
          <w:szCs w:val="24"/>
        </w:rPr>
        <w:t>2014, examines</w:t>
      </w:r>
      <w:r w:rsidR="006713BD">
        <w:rPr>
          <w:rFonts w:eastAsiaTheme="minorEastAsia" w:cs="Times New Roman"/>
          <w:szCs w:val="24"/>
        </w:rPr>
        <w:t xml:space="preserve"> multiple aspects </w:t>
      </w:r>
      <w:r w:rsidR="00D536CC">
        <w:rPr>
          <w:rFonts w:eastAsiaTheme="minorEastAsia" w:cs="Times New Roman"/>
          <w:szCs w:val="24"/>
        </w:rPr>
        <w:t>of the KY school finance system</w:t>
      </w:r>
      <w:r w:rsidR="006713BD">
        <w:rPr>
          <w:rFonts w:eastAsiaTheme="minorEastAsia" w:cs="Times New Roman"/>
          <w:szCs w:val="24"/>
        </w:rPr>
        <w:t>, including the following:</w:t>
      </w:r>
    </w:p>
    <w:p w:rsidR="005468C1" w:rsidRDefault="00410CA0" w:rsidP="005468C1">
      <w:pPr>
        <w:pStyle w:val="ListParagraph"/>
        <w:widowControl w:val="0"/>
        <w:numPr>
          <w:ilvl w:val="0"/>
          <w:numId w:val="57"/>
        </w:numPr>
        <w:autoSpaceDE w:val="0"/>
        <w:autoSpaceDN w:val="0"/>
        <w:adjustRightInd w:val="0"/>
        <w:spacing w:line="240" w:lineRule="auto"/>
        <w:rPr>
          <w:rFonts w:eastAsiaTheme="minorEastAsia" w:cs="Times New Roman"/>
          <w:szCs w:val="24"/>
        </w:rPr>
      </w:pPr>
      <w:r>
        <w:rPr>
          <w:rFonts w:eastAsiaTheme="minorEastAsia" w:cs="Times New Roman"/>
          <w:szCs w:val="24"/>
        </w:rPr>
        <w:t>A</w:t>
      </w:r>
      <w:r w:rsidR="00BE75F0">
        <w:rPr>
          <w:rFonts w:eastAsiaTheme="minorEastAsia" w:cs="Times New Roman"/>
          <w:szCs w:val="24"/>
        </w:rPr>
        <w:t>n</w:t>
      </w:r>
      <w:r>
        <w:rPr>
          <w:rFonts w:eastAsiaTheme="minorEastAsia" w:cs="Times New Roman"/>
          <w:szCs w:val="24"/>
        </w:rPr>
        <w:t xml:space="preserve"> </w:t>
      </w:r>
      <w:r w:rsidR="006713BD">
        <w:rPr>
          <w:rFonts w:eastAsiaTheme="minorEastAsia" w:cs="Times New Roman"/>
          <w:szCs w:val="24"/>
        </w:rPr>
        <w:t>analys</w:t>
      </w:r>
      <w:r w:rsidR="00BE75F0">
        <w:rPr>
          <w:rFonts w:eastAsiaTheme="minorEastAsia" w:cs="Times New Roman"/>
          <w:szCs w:val="24"/>
        </w:rPr>
        <w:t>is</w:t>
      </w:r>
      <w:r w:rsidR="006713BD">
        <w:rPr>
          <w:rFonts w:eastAsiaTheme="minorEastAsia" w:cs="Times New Roman"/>
          <w:szCs w:val="24"/>
        </w:rPr>
        <w:t xml:space="preserve"> of Kentucky’s </w:t>
      </w:r>
      <w:r w:rsidR="00F25165">
        <w:rPr>
          <w:rFonts w:eastAsiaTheme="minorEastAsia" w:cs="Times New Roman"/>
          <w:szCs w:val="24"/>
        </w:rPr>
        <w:t>education</w:t>
      </w:r>
      <w:r w:rsidR="006713BD">
        <w:rPr>
          <w:rFonts w:eastAsiaTheme="minorEastAsia" w:cs="Times New Roman"/>
          <w:szCs w:val="24"/>
        </w:rPr>
        <w:t xml:space="preserve"> system</w:t>
      </w:r>
      <w:r w:rsidR="004E380C">
        <w:rPr>
          <w:rFonts w:eastAsiaTheme="minorEastAsia" w:cs="Times New Roman"/>
          <w:szCs w:val="24"/>
        </w:rPr>
        <w:t xml:space="preserve"> </w:t>
      </w:r>
      <w:r w:rsidR="0057560B">
        <w:rPr>
          <w:rFonts w:eastAsiaTheme="minorEastAsia" w:cs="Times New Roman"/>
          <w:szCs w:val="24"/>
        </w:rPr>
        <w:t xml:space="preserve">with </w:t>
      </w:r>
      <w:r w:rsidR="00FC0680">
        <w:rPr>
          <w:rFonts w:eastAsiaTheme="minorEastAsia" w:cs="Times New Roman"/>
          <w:szCs w:val="24"/>
        </w:rPr>
        <w:t xml:space="preserve">comparative </w:t>
      </w:r>
      <w:r w:rsidR="006713BD">
        <w:rPr>
          <w:rFonts w:eastAsiaTheme="minorEastAsia" w:cs="Times New Roman"/>
          <w:szCs w:val="24"/>
        </w:rPr>
        <w:t>states</w:t>
      </w:r>
      <w:r w:rsidR="00FC0680">
        <w:rPr>
          <w:rFonts w:eastAsiaTheme="minorEastAsia" w:cs="Times New Roman"/>
          <w:szCs w:val="24"/>
        </w:rPr>
        <w:t>.</w:t>
      </w:r>
    </w:p>
    <w:p w:rsidR="00D170B9" w:rsidRDefault="00D170B9" w:rsidP="005468C1">
      <w:pPr>
        <w:pStyle w:val="ListParagraph"/>
        <w:widowControl w:val="0"/>
        <w:numPr>
          <w:ilvl w:val="0"/>
          <w:numId w:val="57"/>
        </w:numPr>
        <w:autoSpaceDE w:val="0"/>
        <w:autoSpaceDN w:val="0"/>
        <w:adjustRightInd w:val="0"/>
        <w:spacing w:line="240" w:lineRule="auto"/>
        <w:rPr>
          <w:rFonts w:eastAsiaTheme="minorEastAsia" w:cs="Times New Roman"/>
          <w:szCs w:val="24"/>
        </w:rPr>
      </w:pPr>
      <w:r w:rsidRPr="001A41AA">
        <w:rPr>
          <w:rFonts w:eastAsiaTheme="minorEastAsia" w:cs="Times New Roman"/>
          <w:szCs w:val="24"/>
        </w:rPr>
        <w:t xml:space="preserve">A series of models based on prototypical schools and </w:t>
      </w:r>
      <w:r w:rsidR="00CE06E7" w:rsidRPr="001A41AA">
        <w:rPr>
          <w:rFonts w:eastAsiaTheme="minorEastAsia" w:cs="Times New Roman"/>
          <w:szCs w:val="24"/>
        </w:rPr>
        <w:t xml:space="preserve">districts that </w:t>
      </w:r>
      <w:r w:rsidR="00D536CC" w:rsidRPr="001A41AA">
        <w:rPr>
          <w:rFonts w:eastAsiaTheme="minorEastAsia" w:cs="Times New Roman"/>
          <w:szCs w:val="24"/>
        </w:rPr>
        <w:t>allow KY to determine the adequate cost of bringing students to state standards</w:t>
      </w:r>
      <w:r w:rsidR="00A51799" w:rsidRPr="001A41AA">
        <w:rPr>
          <w:rFonts w:eastAsiaTheme="minorEastAsia" w:cs="Times New Roman"/>
          <w:szCs w:val="24"/>
        </w:rPr>
        <w:t xml:space="preserve"> (2012-13)</w:t>
      </w:r>
      <w:r w:rsidRPr="001A41AA">
        <w:rPr>
          <w:rFonts w:eastAsiaTheme="minorEastAsia" w:cs="Times New Roman"/>
          <w:szCs w:val="24"/>
        </w:rPr>
        <w:t>.</w:t>
      </w:r>
    </w:p>
    <w:p w:rsidR="00FC0680" w:rsidRPr="001A41AA" w:rsidRDefault="00FC0680" w:rsidP="005468C1">
      <w:pPr>
        <w:pStyle w:val="ListParagraph"/>
        <w:widowControl w:val="0"/>
        <w:numPr>
          <w:ilvl w:val="0"/>
          <w:numId w:val="57"/>
        </w:numPr>
        <w:autoSpaceDE w:val="0"/>
        <w:autoSpaceDN w:val="0"/>
        <w:adjustRightInd w:val="0"/>
        <w:spacing w:line="240" w:lineRule="auto"/>
        <w:rPr>
          <w:rFonts w:eastAsiaTheme="minorEastAsia" w:cs="Times New Roman"/>
          <w:szCs w:val="24"/>
        </w:rPr>
      </w:pPr>
      <w:r>
        <w:rPr>
          <w:rFonts w:eastAsiaTheme="minorEastAsia" w:cs="Times New Roman"/>
          <w:szCs w:val="24"/>
        </w:rPr>
        <w:t xml:space="preserve">An additional study, requested by the Advisory Committee </w:t>
      </w:r>
      <w:r w:rsidR="00BE75F0">
        <w:rPr>
          <w:rFonts w:eastAsiaTheme="minorEastAsia" w:cs="Times New Roman"/>
          <w:szCs w:val="24"/>
        </w:rPr>
        <w:t>(</w:t>
      </w:r>
      <w:r>
        <w:rPr>
          <w:rFonts w:eastAsiaTheme="minorEastAsia" w:cs="Times New Roman"/>
          <w:szCs w:val="24"/>
        </w:rPr>
        <w:t>Appendix A</w:t>
      </w:r>
      <w:r w:rsidR="00BE75F0">
        <w:rPr>
          <w:rFonts w:eastAsiaTheme="minorEastAsia" w:cs="Times New Roman"/>
          <w:szCs w:val="24"/>
        </w:rPr>
        <w:t>)</w:t>
      </w:r>
      <w:r w:rsidR="00F25165">
        <w:rPr>
          <w:rFonts w:eastAsiaTheme="minorEastAsia" w:cs="Times New Roman"/>
          <w:szCs w:val="24"/>
        </w:rPr>
        <w:t>,</w:t>
      </w:r>
      <w:r>
        <w:rPr>
          <w:rFonts w:eastAsiaTheme="minorEastAsia" w:cs="Times New Roman"/>
          <w:szCs w:val="24"/>
        </w:rPr>
        <w:t xml:space="preserve"> follows a similar methodology as the compar</w:t>
      </w:r>
      <w:r w:rsidR="00BE75F0">
        <w:rPr>
          <w:rFonts w:eastAsiaTheme="minorEastAsia" w:cs="Times New Roman"/>
          <w:szCs w:val="24"/>
        </w:rPr>
        <w:t>ative states work, but compares</w:t>
      </w:r>
      <w:r>
        <w:rPr>
          <w:rFonts w:eastAsiaTheme="minorEastAsia" w:cs="Times New Roman"/>
          <w:szCs w:val="24"/>
        </w:rPr>
        <w:t xml:space="preserve"> Kentucky to the </w:t>
      </w:r>
      <w:r w:rsidR="00BE75F0">
        <w:rPr>
          <w:rFonts w:eastAsiaTheme="minorEastAsia" w:cs="Times New Roman"/>
          <w:szCs w:val="24"/>
        </w:rPr>
        <w:t xml:space="preserve">most </w:t>
      </w:r>
      <w:r>
        <w:rPr>
          <w:rFonts w:eastAsiaTheme="minorEastAsia" w:cs="Times New Roman"/>
          <w:szCs w:val="24"/>
        </w:rPr>
        <w:t>successful states in terms of academic performance.</w:t>
      </w:r>
    </w:p>
    <w:p w:rsidR="006713BD" w:rsidRDefault="006713BD" w:rsidP="005468C1">
      <w:pPr>
        <w:widowControl w:val="0"/>
        <w:autoSpaceDE w:val="0"/>
        <w:autoSpaceDN w:val="0"/>
        <w:adjustRightInd w:val="0"/>
        <w:spacing w:line="240" w:lineRule="auto"/>
        <w:rPr>
          <w:rFonts w:eastAsiaTheme="minorEastAsia" w:cs="Times New Roman"/>
          <w:szCs w:val="24"/>
        </w:rPr>
      </w:pPr>
    </w:p>
    <w:p w:rsidR="006713BD" w:rsidRDefault="006713BD" w:rsidP="005468C1">
      <w:pPr>
        <w:spacing w:line="240" w:lineRule="auto"/>
        <w:rPr>
          <w:rFonts w:eastAsiaTheme="minorEastAsia" w:cs="Times New Roman"/>
          <w:szCs w:val="24"/>
        </w:rPr>
      </w:pPr>
      <w:r>
        <w:rPr>
          <w:rFonts w:eastAsiaTheme="minorEastAsia" w:cs="Times New Roman"/>
          <w:szCs w:val="24"/>
        </w:rPr>
        <w:t xml:space="preserve">In this report Picus Odden &amp; Associates offers </w:t>
      </w:r>
      <w:r w:rsidR="0085084B">
        <w:rPr>
          <w:rFonts w:eastAsiaTheme="minorEastAsia" w:cs="Times New Roman"/>
          <w:szCs w:val="24"/>
        </w:rPr>
        <w:t>information and</w:t>
      </w:r>
      <w:r>
        <w:rPr>
          <w:rFonts w:eastAsiaTheme="minorEastAsia" w:cs="Times New Roman"/>
          <w:szCs w:val="24"/>
        </w:rPr>
        <w:t xml:space="preserve"> recommendations about the operation of the </w:t>
      </w:r>
      <w:r w:rsidR="0085084B">
        <w:rPr>
          <w:rFonts w:eastAsiaTheme="minorEastAsia" w:cs="Times New Roman"/>
          <w:szCs w:val="24"/>
        </w:rPr>
        <w:t xml:space="preserve">KY school finance </w:t>
      </w:r>
      <w:r>
        <w:rPr>
          <w:rFonts w:eastAsiaTheme="minorEastAsia" w:cs="Times New Roman"/>
          <w:szCs w:val="24"/>
        </w:rPr>
        <w:t>system</w:t>
      </w:r>
      <w:r w:rsidR="00CE6B51">
        <w:rPr>
          <w:rFonts w:eastAsiaTheme="minorEastAsia" w:cs="Times New Roman"/>
          <w:szCs w:val="24"/>
        </w:rPr>
        <w:t xml:space="preserve">, with specific recommendations on how to determine the </w:t>
      </w:r>
      <w:r w:rsidR="00CE6B51">
        <w:rPr>
          <w:rFonts w:eastAsiaTheme="minorEastAsia" w:cs="Times New Roman"/>
          <w:i/>
          <w:szCs w:val="24"/>
        </w:rPr>
        <w:t>cost</w:t>
      </w:r>
      <w:r w:rsidR="00CE6B51">
        <w:rPr>
          <w:rFonts w:eastAsiaTheme="minorEastAsia" w:cs="Times New Roman"/>
          <w:szCs w:val="24"/>
        </w:rPr>
        <w:t xml:space="preserve"> </w:t>
      </w:r>
      <w:r w:rsidR="00CE6B51">
        <w:rPr>
          <w:rFonts w:eastAsiaTheme="minorEastAsia" w:cs="Times New Roman"/>
          <w:i/>
          <w:szCs w:val="24"/>
        </w:rPr>
        <w:t>of education</w:t>
      </w:r>
      <w:r w:rsidR="00CE6B51">
        <w:rPr>
          <w:rFonts w:eastAsiaTheme="minorEastAsia" w:cs="Times New Roman"/>
          <w:szCs w:val="24"/>
        </w:rPr>
        <w:t xml:space="preserve"> in Kentucky</w:t>
      </w:r>
      <w:r>
        <w:rPr>
          <w:rFonts w:eastAsiaTheme="minorEastAsia" w:cs="Times New Roman"/>
          <w:szCs w:val="24"/>
        </w:rPr>
        <w:t xml:space="preserve">. </w:t>
      </w:r>
    </w:p>
    <w:p w:rsidR="006713BD" w:rsidRDefault="006713BD" w:rsidP="005468C1">
      <w:pPr>
        <w:spacing w:line="240" w:lineRule="auto"/>
        <w:rPr>
          <w:rFonts w:eastAsiaTheme="minorEastAsia" w:cs="Times New Roman"/>
          <w:szCs w:val="24"/>
        </w:rPr>
      </w:pPr>
    </w:p>
    <w:p w:rsidR="006713BD" w:rsidRDefault="006713BD" w:rsidP="005468C1">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Overall, the review found that o</w:t>
      </w:r>
      <w:r>
        <w:rPr>
          <w:rFonts w:cs="Times New Roman"/>
        </w:rPr>
        <w:t>ver the past decade Kentucky has consistently funded its schools below national averages</w:t>
      </w:r>
      <w:r w:rsidR="00BD0A51">
        <w:rPr>
          <w:rFonts w:cs="Times New Roman"/>
        </w:rPr>
        <w:t>,</w:t>
      </w:r>
      <w:r>
        <w:rPr>
          <w:rFonts w:cs="Times New Roman"/>
        </w:rPr>
        <w:t xml:space="preserve"> but funding levels have shown </w:t>
      </w:r>
      <w:r w:rsidR="00BD0A51">
        <w:rPr>
          <w:rFonts w:cs="Times New Roman"/>
        </w:rPr>
        <w:t>varied</w:t>
      </w:r>
      <w:r>
        <w:rPr>
          <w:rFonts w:cs="Times New Roman"/>
        </w:rPr>
        <w:t xml:space="preserve"> results against comparable states. Kentucky’s teacher salaries have consistently been below national averages over the past decade. Kentucky’s educational </w:t>
      </w:r>
      <w:r w:rsidRPr="0085084B">
        <w:rPr>
          <w:rFonts w:cs="Times New Roman"/>
        </w:rPr>
        <w:t>outcomes have generally been mixed when compared to both national averages and comparable states.</w:t>
      </w:r>
      <w:r w:rsidR="001A41AA">
        <w:rPr>
          <w:rFonts w:eastAsiaTheme="minorEastAsia" w:cs="Times New Roman"/>
          <w:szCs w:val="24"/>
        </w:rPr>
        <w:t xml:space="preserve"> </w:t>
      </w:r>
      <w:r w:rsidR="00FC0680">
        <w:rPr>
          <w:rFonts w:eastAsiaTheme="minorEastAsia" w:cs="Times New Roman"/>
          <w:szCs w:val="24"/>
        </w:rPr>
        <w:t>In understanding the context of the following information, it is important to note</w:t>
      </w:r>
      <w:r w:rsidR="00BE75F0">
        <w:rPr>
          <w:rFonts w:eastAsiaTheme="minorEastAsia" w:cs="Times New Roman"/>
          <w:szCs w:val="24"/>
        </w:rPr>
        <w:t xml:space="preserve"> </w:t>
      </w:r>
      <w:r w:rsidR="00FC0680">
        <w:rPr>
          <w:rFonts w:eastAsiaTheme="minorEastAsia" w:cs="Times New Roman"/>
          <w:szCs w:val="24"/>
        </w:rPr>
        <w:t xml:space="preserve">that KY has again led the nation in new, higher standards of </w:t>
      </w:r>
      <w:r w:rsidR="00F25165">
        <w:rPr>
          <w:rFonts w:eastAsiaTheme="minorEastAsia" w:cs="Times New Roman"/>
          <w:szCs w:val="24"/>
        </w:rPr>
        <w:t>bringing</w:t>
      </w:r>
      <w:r w:rsidR="00E374D9">
        <w:rPr>
          <w:rFonts w:eastAsiaTheme="minorEastAsia" w:cs="Times New Roman"/>
          <w:szCs w:val="24"/>
        </w:rPr>
        <w:t xml:space="preserve"> students to be College and Career R</w:t>
      </w:r>
      <w:r w:rsidR="00FC0680">
        <w:rPr>
          <w:rFonts w:eastAsiaTheme="minorEastAsia" w:cs="Times New Roman"/>
          <w:szCs w:val="24"/>
        </w:rPr>
        <w:t xml:space="preserve">eady as well as to meet the </w:t>
      </w:r>
      <w:r w:rsidR="00FD15B4">
        <w:rPr>
          <w:rFonts w:eastAsiaTheme="minorEastAsia" w:cs="Times New Roman"/>
          <w:szCs w:val="24"/>
        </w:rPr>
        <w:t xml:space="preserve">aggressive </w:t>
      </w:r>
      <w:r w:rsidR="00E4751F">
        <w:rPr>
          <w:rFonts w:eastAsiaTheme="minorEastAsia" w:cs="Times New Roman"/>
          <w:szCs w:val="24"/>
        </w:rPr>
        <w:t>Common Core S</w:t>
      </w:r>
      <w:r w:rsidR="00FC0680">
        <w:rPr>
          <w:rFonts w:eastAsiaTheme="minorEastAsia" w:cs="Times New Roman"/>
          <w:szCs w:val="24"/>
        </w:rPr>
        <w:t xml:space="preserve">tandards. The importance of this </w:t>
      </w:r>
      <w:r w:rsidR="00977088">
        <w:rPr>
          <w:rFonts w:eastAsiaTheme="minorEastAsia" w:cs="Times New Roman"/>
          <w:szCs w:val="24"/>
        </w:rPr>
        <w:t xml:space="preserve">context </w:t>
      </w:r>
      <w:r w:rsidR="00FC0680">
        <w:rPr>
          <w:rFonts w:eastAsiaTheme="minorEastAsia" w:cs="Times New Roman"/>
          <w:szCs w:val="24"/>
        </w:rPr>
        <w:t>can be seen by the difference in these comparative states and t</w:t>
      </w:r>
      <w:r w:rsidR="00E4751F">
        <w:rPr>
          <w:rFonts w:eastAsiaTheme="minorEastAsia" w:cs="Times New Roman"/>
          <w:szCs w:val="24"/>
        </w:rPr>
        <w:t>he states of highest performing students</w:t>
      </w:r>
      <w:r w:rsidR="00FC0680">
        <w:rPr>
          <w:rFonts w:eastAsiaTheme="minorEastAsia" w:cs="Times New Roman"/>
          <w:szCs w:val="24"/>
        </w:rPr>
        <w:t xml:space="preserve">—the latter states </w:t>
      </w:r>
      <w:r w:rsidR="0022288D">
        <w:rPr>
          <w:rFonts w:eastAsiaTheme="minorEastAsia" w:cs="Times New Roman"/>
          <w:szCs w:val="24"/>
        </w:rPr>
        <w:t>which</w:t>
      </w:r>
      <w:r w:rsidR="00FC0680">
        <w:rPr>
          <w:rFonts w:eastAsiaTheme="minorEastAsia" w:cs="Times New Roman"/>
          <w:szCs w:val="24"/>
        </w:rPr>
        <w:t>, given current research, have the necessary funds to meet the standards se</w:t>
      </w:r>
      <w:r w:rsidR="00F25165">
        <w:rPr>
          <w:rFonts w:eastAsiaTheme="minorEastAsia" w:cs="Times New Roman"/>
          <w:szCs w:val="24"/>
        </w:rPr>
        <w:t>t for in KY Senate Bill 1, the Common Core S</w:t>
      </w:r>
      <w:r w:rsidR="00E374D9">
        <w:rPr>
          <w:rFonts w:eastAsiaTheme="minorEastAsia" w:cs="Times New Roman"/>
          <w:szCs w:val="24"/>
        </w:rPr>
        <w:t>tandards, and a College and Career R</w:t>
      </w:r>
      <w:r w:rsidR="00FC0680">
        <w:rPr>
          <w:rFonts w:eastAsiaTheme="minorEastAsia" w:cs="Times New Roman"/>
          <w:szCs w:val="24"/>
        </w:rPr>
        <w:t xml:space="preserve">eady student </w:t>
      </w:r>
      <w:r w:rsidR="00E4751F">
        <w:rPr>
          <w:rFonts w:eastAsiaTheme="minorEastAsia" w:cs="Times New Roman"/>
          <w:szCs w:val="24"/>
        </w:rPr>
        <w:t>population.</w:t>
      </w:r>
    </w:p>
    <w:p w:rsidR="006713BD" w:rsidRDefault="006713BD" w:rsidP="005468C1">
      <w:pPr>
        <w:spacing w:line="240" w:lineRule="auto"/>
        <w:rPr>
          <w:rFonts w:cs="Times New Roman"/>
        </w:rPr>
      </w:pPr>
    </w:p>
    <w:p w:rsidR="006713BD" w:rsidRDefault="0085084B" w:rsidP="005468C1">
      <w:pPr>
        <w:pStyle w:val="Heading3"/>
        <w:spacing w:before="0" w:after="0"/>
      </w:pPr>
      <w:bookmarkStart w:id="3" w:name="_Toc246327486"/>
      <w:bookmarkStart w:id="4" w:name="_Toc225611227"/>
      <w:bookmarkStart w:id="5" w:name="_Toc395180636"/>
      <w:r>
        <w:t>Comparison w</w:t>
      </w:r>
      <w:r w:rsidR="006713BD">
        <w:t>ith Other States</w:t>
      </w:r>
      <w:bookmarkEnd w:id="3"/>
      <w:bookmarkEnd w:id="4"/>
      <w:bookmarkEnd w:id="5"/>
      <w:r w:rsidR="006713BD">
        <w:t xml:space="preserve"> </w:t>
      </w:r>
    </w:p>
    <w:p w:rsidR="006713BD" w:rsidRDefault="006D6D0B" w:rsidP="005468C1">
      <w:pPr>
        <w:spacing w:line="240" w:lineRule="auto"/>
        <w:rPr>
          <w:rFonts w:cs="Times New Roman"/>
        </w:rPr>
      </w:pPr>
      <w:r>
        <w:rPr>
          <w:rFonts w:cs="Times New Roman"/>
        </w:rPr>
        <w:t>The study compared state-</w:t>
      </w:r>
      <w:r w:rsidR="006713BD">
        <w:rPr>
          <w:rFonts w:cs="Times New Roman"/>
        </w:rPr>
        <w:t xml:space="preserve">level data from Kentucky with national averages and information from </w:t>
      </w:r>
      <w:r w:rsidR="00F37F4C">
        <w:rPr>
          <w:rFonts w:cs="Times New Roman"/>
        </w:rPr>
        <w:t xml:space="preserve">seven </w:t>
      </w:r>
      <w:r w:rsidR="006713BD">
        <w:rPr>
          <w:rFonts w:cs="Times New Roman"/>
        </w:rPr>
        <w:t>comparable states (Alabama, Arkansas, Indiana, Missouri, Ohio, Tennessee</w:t>
      </w:r>
      <w:r w:rsidR="00A51799">
        <w:rPr>
          <w:rFonts w:cs="Times New Roman"/>
        </w:rPr>
        <w:t>,</w:t>
      </w:r>
      <w:r w:rsidR="006713BD">
        <w:rPr>
          <w:rFonts w:cs="Times New Roman"/>
        </w:rPr>
        <w:t xml:space="preserve"> and West Virginia). The data reviewed for this study included educational outcomes, public school expenditures, student demographics, state budgets and teacher staffing. After reviewing all of the relevant da</w:t>
      </w:r>
      <w:r w:rsidR="00D536CC">
        <w:rPr>
          <w:rFonts w:cs="Times New Roman"/>
        </w:rPr>
        <w:t>ta</w:t>
      </w:r>
      <w:r w:rsidR="00A51799">
        <w:rPr>
          <w:rFonts w:cs="Times New Roman"/>
        </w:rPr>
        <w:t>,</w:t>
      </w:r>
      <w:r w:rsidR="00D536CC">
        <w:rPr>
          <w:rFonts w:cs="Times New Roman"/>
        </w:rPr>
        <w:t xml:space="preserve"> three findings</w:t>
      </w:r>
      <w:r w:rsidR="002F7936">
        <w:rPr>
          <w:rFonts w:cs="Times New Roman"/>
        </w:rPr>
        <w:t xml:space="preserve"> about Kentucky education system characteristics</w:t>
      </w:r>
      <w:r w:rsidR="00D536CC">
        <w:rPr>
          <w:rFonts w:cs="Times New Roman"/>
        </w:rPr>
        <w:t xml:space="preserve"> stand</w:t>
      </w:r>
      <w:r w:rsidR="002F7936">
        <w:rPr>
          <w:rFonts w:cs="Times New Roman"/>
        </w:rPr>
        <w:t xml:space="preserve"> </w:t>
      </w:r>
      <w:r w:rsidR="00D536CC">
        <w:rPr>
          <w:rFonts w:cs="Times New Roman"/>
        </w:rPr>
        <w:t>out</w:t>
      </w:r>
      <w:r w:rsidR="000B2E06">
        <w:rPr>
          <w:rFonts w:cs="Times New Roman"/>
        </w:rPr>
        <w:t>:</w:t>
      </w:r>
      <w:r w:rsidR="003B57EA">
        <w:rPr>
          <w:rFonts w:cs="Times New Roman"/>
        </w:rPr>
        <w:t xml:space="preserve"> </w:t>
      </w:r>
      <w:r w:rsidR="000B2E06">
        <w:rPr>
          <w:rFonts w:cs="Times New Roman"/>
        </w:rPr>
        <w:t xml:space="preserve"> below average funding, below average teacher salaries, and mixed educational outcomes.</w:t>
      </w:r>
    </w:p>
    <w:p w:rsidR="006713BD" w:rsidRDefault="006713BD" w:rsidP="005468C1">
      <w:pPr>
        <w:spacing w:line="240" w:lineRule="auto"/>
        <w:rPr>
          <w:rFonts w:cs="Times New Roman"/>
        </w:rPr>
      </w:pPr>
    </w:p>
    <w:p w:rsidR="00FA6F0C" w:rsidRDefault="00FA6F0C" w:rsidP="00090DBD">
      <w:pPr>
        <w:widowControl w:val="0"/>
        <w:tabs>
          <w:tab w:val="left" w:pos="940"/>
          <w:tab w:val="left" w:pos="1440"/>
        </w:tabs>
        <w:autoSpaceDE w:val="0"/>
        <w:autoSpaceDN w:val="0"/>
        <w:adjustRightInd w:val="0"/>
        <w:spacing w:after="320" w:line="240" w:lineRule="auto"/>
        <w:rPr>
          <w:rFonts w:cs="Times New Roman"/>
        </w:rPr>
      </w:pPr>
      <w:r>
        <w:rPr>
          <w:rFonts w:cs="Times New Roman"/>
        </w:rPr>
        <w:t xml:space="preserve">However, the student population in Kentucky is of import, in that its free and reduced priced </w:t>
      </w:r>
      <w:r>
        <w:rPr>
          <w:rFonts w:cs="Times New Roman"/>
        </w:rPr>
        <w:lastRenderedPageBreak/>
        <w:t xml:space="preserve">lunch counts surpassed the national average. </w:t>
      </w:r>
      <w:r w:rsidRPr="00FA6F0C">
        <w:rPr>
          <w:rFonts w:cs="Times New Roman"/>
        </w:rPr>
        <w:t>In 2011-12, 54.4 percent of public school students in Kentucky qualified for free/reduced priced lunches – the 12</w:t>
      </w:r>
      <w:r w:rsidRPr="00FA6F0C">
        <w:rPr>
          <w:rFonts w:cs="Times New Roman"/>
          <w:vertAlign w:val="superscript"/>
        </w:rPr>
        <w:t>th</w:t>
      </w:r>
      <w:r w:rsidRPr="00FA6F0C">
        <w:rPr>
          <w:rFonts w:cs="Times New Roman"/>
        </w:rPr>
        <w:t xml:space="preserve"> highest rate in the country. The national average was 49.6 percent with three comparative states Arkansas (60.9 percent), Alabama (57.5 percent) and Tennessee (57.5 percent) having a higher percentage than Kentucky and four comparative states Ohio (43.6 percent), Missouri (46.5), Indiana (48 percent) and West Virginia (52.8 percent) having a lower percentage of fre</w:t>
      </w:r>
      <w:r w:rsidR="00090DBD">
        <w:rPr>
          <w:rFonts w:cs="Times New Roman"/>
        </w:rPr>
        <w:t>e/reduced price lunch students.</w:t>
      </w:r>
    </w:p>
    <w:p w:rsidR="006713BD" w:rsidRPr="00A51799" w:rsidRDefault="006713BD" w:rsidP="005468C1">
      <w:pPr>
        <w:spacing w:line="240" w:lineRule="auto"/>
        <w:rPr>
          <w:rFonts w:cs="Times New Roman"/>
          <w:u w:val="single"/>
        </w:rPr>
      </w:pPr>
      <w:r w:rsidRPr="00A51799">
        <w:rPr>
          <w:rFonts w:cs="Times New Roman"/>
          <w:u w:val="single"/>
        </w:rPr>
        <w:t>Below Average Funding</w:t>
      </w:r>
    </w:p>
    <w:p w:rsidR="006713BD" w:rsidRDefault="003B57EA" w:rsidP="005468C1">
      <w:pPr>
        <w:widowControl w:val="0"/>
        <w:tabs>
          <w:tab w:val="left" w:pos="940"/>
          <w:tab w:val="left" w:pos="1440"/>
        </w:tabs>
        <w:autoSpaceDE w:val="0"/>
        <w:autoSpaceDN w:val="0"/>
        <w:adjustRightInd w:val="0"/>
        <w:spacing w:line="240" w:lineRule="auto"/>
        <w:rPr>
          <w:rFonts w:cs="Times New Roman"/>
        </w:rPr>
      </w:pPr>
      <w:r>
        <w:rPr>
          <w:rFonts w:cs="Times New Roman"/>
        </w:rPr>
        <w:t>Kentucky’s per-</w:t>
      </w:r>
      <w:r w:rsidR="006713BD">
        <w:rPr>
          <w:rFonts w:cs="Times New Roman"/>
        </w:rPr>
        <w:t>pupil funding for the 2012-13 school year ranked</w:t>
      </w:r>
      <w:r w:rsidR="006713BD">
        <w:rPr>
          <w:rFonts w:cs="Times New Roman"/>
          <w:vertAlign w:val="superscript"/>
        </w:rPr>
        <w:t xml:space="preserve"> </w:t>
      </w:r>
      <w:r w:rsidR="006713BD">
        <w:rPr>
          <w:rFonts w:cs="Times New Roman"/>
        </w:rPr>
        <w:t>28</w:t>
      </w:r>
      <w:r w:rsidR="006713BD">
        <w:rPr>
          <w:rFonts w:cs="Times New Roman"/>
          <w:vertAlign w:val="superscript"/>
        </w:rPr>
        <w:t>th</w:t>
      </w:r>
      <w:r w:rsidR="006713BD">
        <w:rPr>
          <w:rFonts w:cs="Times New Roman"/>
        </w:rPr>
        <w:t xml:space="preserve"> in the nation and was behind 3 of the 7 comparable states. </w:t>
      </w:r>
      <w:r w:rsidR="00273109">
        <w:rPr>
          <w:rFonts w:cs="Times New Roman"/>
        </w:rPr>
        <w:t>According to the National Education Association, i</w:t>
      </w:r>
      <w:r w:rsidR="006713BD">
        <w:rPr>
          <w:rFonts w:cs="Times New Roman"/>
        </w:rPr>
        <w:t xml:space="preserve">n 2012-13 Kentucky spent </w:t>
      </w:r>
      <w:r w:rsidR="004A65F4">
        <w:rPr>
          <w:rFonts w:cs="Times New Roman"/>
        </w:rPr>
        <w:t>$10</w:t>
      </w:r>
      <w:r w:rsidR="00995F99">
        <w:rPr>
          <w:rFonts w:cs="Times New Roman"/>
        </w:rPr>
        <w:t>,033</w:t>
      </w:r>
      <w:r w:rsidR="004A65F4">
        <w:rPr>
          <w:rFonts w:cs="Times New Roman"/>
        </w:rPr>
        <w:t xml:space="preserve"> per </w:t>
      </w:r>
      <w:r w:rsidR="00995F99">
        <w:rPr>
          <w:rFonts w:cs="Times New Roman"/>
        </w:rPr>
        <w:t>enrolled student</w:t>
      </w:r>
      <w:r w:rsidR="004A65F4">
        <w:rPr>
          <w:rFonts w:cs="Times New Roman"/>
        </w:rPr>
        <w:t xml:space="preserve">, </w:t>
      </w:r>
      <w:r w:rsidR="00995F99">
        <w:rPr>
          <w:rFonts w:cs="Times New Roman"/>
        </w:rPr>
        <w:t>versus the national average of $10,938</w:t>
      </w:r>
      <w:r w:rsidR="004A65F4">
        <w:rPr>
          <w:rFonts w:cs="Times New Roman"/>
        </w:rPr>
        <w:t xml:space="preserve"> </w:t>
      </w:r>
      <w:r w:rsidR="006713BD">
        <w:rPr>
          <w:rFonts w:cs="Times New Roman"/>
        </w:rPr>
        <w:t>(NEA, 2014). The gap between per pupil spending in Kentucky and the national average has stayed fairly consistent over the past decade, as can be seen in chart 1.</w:t>
      </w:r>
    </w:p>
    <w:p w:rsidR="005468C1" w:rsidRDefault="005468C1">
      <w:pPr>
        <w:rPr>
          <w:rFonts w:cs="Times New Roman"/>
          <w:b/>
        </w:rPr>
      </w:pPr>
      <w:r>
        <w:rPr>
          <w:rFonts w:cs="Times New Roman"/>
          <w:b/>
        </w:rPr>
        <w:br w:type="page"/>
      </w:r>
    </w:p>
    <w:p w:rsidR="005468C1" w:rsidRDefault="006713BD" w:rsidP="005468C1">
      <w:pPr>
        <w:widowControl w:val="0"/>
        <w:tabs>
          <w:tab w:val="left" w:pos="940"/>
          <w:tab w:val="left" w:pos="1440"/>
        </w:tabs>
        <w:autoSpaceDE w:val="0"/>
        <w:autoSpaceDN w:val="0"/>
        <w:adjustRightInd w:val="0"/>
        <w:spacing w:line="240" w:lineRule="auto"/>
        <w:rPr>
          <w:noProof/>
        </w:rPr>
      </w:pPr>
      <w:r>
        <w:rPr>
          <w:rFonts w:cs="Times New Roman"/>
          <w:b/>
        </w:rPr>
        <w:lastRenderedPageBreak/>
        <w:t>Chart 1: Per Pupil Spending FY 2003-04 to 2012-13</w:t>
      </w:r>
      <w:r>
        <w:rPr>
          <w:noProof/>
        </w:rPr>
        <w:t xml:space="preserve"> </w:t>
      </w:r>
    </w:p>
    <w:p w:rsidR="005468C1" w:rsidRDefault="005468C1" w:rsidP="005468C1">
      <w:pPr>
        <w:widowControl w:val="0"/>
        <w:tabs>
          <w:tab w:val="left" w:pos="940"/>
          <w:tab w:val="left" w:pos="1440"/>
        </w:tabs>
        <w:autoSpaceDE w:val="0"/>
        <w:autoSpaceDN w:val="0"/>
        <w:adjustRightInd w:val="0"/>
        <w:spacing w:line="240" w:lineRule="auto"/>
        <w:rPr>
          <w:noProof/>
        </w:rPr>
      </w:pPr>
    </w:p>
    <w:p w:rsidR="005468C1" w:rsidRDefault="006713BD" w:rsidP="005468C1">
      <w:pPr>
        <w:widowControl w:val="0"/>
        <w:tabs>
          <w:tab w:val="left" w:pos="940"/>
          <w:tab w:val="left" w:pos="1440"/>
        </w:tabs>
        <w:autoSpaceDE w:val="0"/>
        <w:autoSpaceDN w:val="0"/>
        <w:adjustRightInd w:val="0"/>
        <w:spacing w:line="240" w:lineRule="auto"/>
        <w:rPr>
          <w:noProof/>
        </w:rPr>
      </w:pPr>
      <w:r>
        <w:rPr>
          <w:noProof/>
        </w:rPr>
        <w:drawing>
          <wp:inline distT="0" distB="0" distL="0" distR="0">
            <wp:extent cx="5494020" cy="2468880"/>
            <wp:effectExtent l="0" t="0" r="11430" b="266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13BD" w:rsidRPr="005468C1" w:rsidRDefault="006713BD" w:rsidP="006713BD">
      <w:pPr>
        <w:widowControl w:val="0"/>
        <w:tabs>
          <w:tab w:val="left" w:pos="940"/>
          <w:tab w:val="left" w:pos="1440"/>
        </w:tabs>
        <w:autoSpaceDE w:val="0"/>
        <w:autoSpaceDN w:val="0"/>
        <w:adjustRightInd w:val="0"/>
        <w:spacing w:after="320"/>
        <w:rPr>
          <w:noProof/>
        </w:rPr>
      </w:pPr>
      <w:r>
        <w:rPr>
          <w:rFonts w:cs="Times New Roman"/>
          <w:sz w:val="22"/>
        </w:rPr>
        <w:t xml:space="preserve">Source: NEA </w:t>
      </w:r>
      <w:r w:rsidR="005468C1">
        <w:rPr>
          <w:rFonts w:cs="Times New Roman"/>
          <w:sz w:val="22"/>
        </w:rPr>
        <w:t>(201</w:t>
      </w:r>
      <w:r w:rsidR="009712C8">
        <w:rPr>
          <w:rFonts w:cs="Times New Roman"/>
          <w:sz w:val="22"/>
        </w:rPr>
        <w:t>4</w:t>
      </w:r>
      <w:r w:rsidR="005468C1">
        <w:rPr>
          <w:rFonts w:cs="Times New Roman"/>
          <w:sz w:val="22"/>
        </w:rPr>
        <w:t>)</w:t>
      </w:r>
    </w:p>
    <w:p w:rsidR="006713BD" w:rsidRDefault="006713BD" w:rsidP="0030434D">
      <w:pPr>
        <w:spacing w:line="240" w:lineRule="auto"/>
        <w:rPr>
          <w:rFonts w:cs="Times New Roman"/>
        </w:rPr>
      </w:pPr>
      <w:r>
        <w:rPr>
          <w:rFonts w:cs="Times New Roman"/>
        </w:rPr>
        <w:t>While Kentucky’s per pupil funding amounts lag behind the national average</w:t>
      </w:r>
      <w:r w:rsidR="00FB3EB1">
        <w:rPr>
          <w:rFonts w:cs="Times New Roman"/>
        </w:rPr>
        <w:t>, it has</w:t>
      </w:r>
      <w:r>
        <w:rPr>
          <w:rFonts w:cs="Times New Roman"/>
        </w:rPr>
        <w:t xml:space="preserve"> tended to fall in the middle of the seven comparable states. In 2012-13 three of the comparable states had higher per pupil amounts than Kentucky and four had lower amounts.</w:t>
      </w:r>
    </w:p>
    <w:p w:rsidR="00D04099" w:rsidRDefault="00D04099" w:rsidP="005468C1">
      <w:pPr>
        <w:spacing w:line="240" w:lineRule="auto"/>
        <w:rPr>
          <w:rFonts w:cs="Times New Roman"/>
        </w:rPr>
      </w:pPr>
    </w:p>
    <w:p w:rsidR="006713BD" w:rsidRDefault="006713BD" w:rsidP="005468C1">
      <w:pPr>
        <w:spacing w:line="240" w:lineRule="auto"/>
        <w:rPr>
          <w:rFonts w:cs="Times New Roman"/>
        </w:rPr>
      </w:pPr>
      <w:r>
        <w:rPr>
          <w:rFonts w:cs="Times New Roman"/>
        </w:rPr>
        <w:t xml:space="preserve">One issue that can explain part of Kentucky’s below average per pupil spending is the state’s commitment to K-12 education in its budget. Over the past decade Kentucky has committed a lower percentage of its total </w:t>
      </w:r>
      <w:r w:rsidR="00F96568">
        <w:rPr>
          <w:rFonts w:cs="Times New Roman"/>
        </w:rPr>
        <w:t xml:space="preserve">state </w:t>
      </w:r>
      <w:r>
        <w:rPr>
          <w:rFonts w:cs="Times New Roman"/>
        </w:rPr>
        <w:t>expenditures to K-12 educat</w:t>
      </w:r>
      <w:r w:rsidR="00D04099">
        <w:rPr>
          <w:rFonts w:cs="Times New Roman"/>
        </w:rPr>
        <w:t xml:space="preserve">ion than the national average; </w:t>
      </w:r>
      <w:r>
        <w:rPr>
          <w:rFonts w:cs="Times New Roman"/>
        </w:rPr>
        <w:t>while the difference between Kentucky and the national</w:t>
      </w:r>
      <w:r w:rsidR="00770251">
        <w:rPr>
          <w:rFonts w:cs="Times New Roman"/>
        </w:rPr>
        <w:t xml:space="preserve"> average tends to be </w:t>
      </w:r>
      <w:r w:rsidR="00513536">
        <w:rPr>
          <w:rFonts w:cs="Times New Roman"/>
        </w:rPr>
        <w:t xml:space="preserve">less than </w:t>
      </w:r>
      <w:r w:rsidR="00770251">
        <w:rPr>
          <w:rFonts w:cs="Times New Roman"/>
        </w:rPr>
        <w:t>2 percent</w:t>
      </w:r>
      <w:r w:rsidR="00D04099">
        <w:rPr>
          <w:rFonts w:cs="Times New Roman"/>
        </w:rPr>
        <w:t xml:space="preserve">, this small percentage </w:t>
      </w:r>
      <w:r>
        <w:rPr>
          <w:rFonts w:cs="Times New Roman"/>
        </w:rPr>
        <w:t>make</w:t>
      </w:r>
      <w:r w:rsidR="00D04099">
        <w:rPr>
          <w:rFonts w:cs="Times New Roman"/>
        </w:rPr>
        <w:t>s</w:t>
      </w:r>
      <w:r>
        <w:rPr>
          <w:rFonts w:cs="Times New Roman"/>
        </w:rPr>
        <w:t xml:space="preserve"> a difference in educat</w:t>
      </w:r>
      <w:r w:rsidR="00D04099">
        <w:rPr>
          <w:rFonts w:cs="Times New Roman"/>
        </w:rPr>
        <w:t>ion funding. In FY 2012-13</w:t>
      </w:r>
      <w:r w:rsidR="003A0268">
        <w:rPr>
          <w:rFonts w:cs="Times New Roman"/>
        </w:rPr>
        <w:t>,</w:t>
      </w:r>
      <w:r w:rsidR="00D04099">
        <w:rPr>
          <w:rFonts w:cs="Times New Roman"/>
        </w:rPr>
        <w:t xml:space="preserve"> 19.6 percent</w:t>
      </w:r>
      <w:r>
        <w:rPr>
          <w:rFonts w:cs="Times New Roman"/>
        </w:rPr>
        <w:t xml:space="preserve"> of Kentucky’s total </w:t>
      </w:r>
      <w:r w:rsidR="00F96568">
        <w:rPr>
          <w:rFonts w:cs="Times New Roman"/>
        </w:rPr>
        <w:t xml:space="preserve">state </w:t>
      </w:r>
      <w:r>
        <w:rPr>
          <w:rFonts w:cs="Times New Roman"/>
        </w:rPr>
        <w:t>expenditures went t</w:t>
      </w:r>
      <w:r w:rsidR="00770251">
        <w:rPr>
          <w:rFonts w:cs="Times New Roman"/>
        </w:rPr>
        <w:t>o K-12 education – this was 0.4 percent</w:t>
      </w:r>
      <w:r w:rsidR="000B2E06">
        <w:rPr>
          <w:rFonts w:cs="Times New Roman"/>
        </w:rPr>
        <w:t>age points</w:t>
      </w:r>
      <w:r>
        <w:rPr>
          <w:rFonts w:cs="Times New Roman"/>
        </w:rPr>
        <w:t xml:space="preserve"> bel</w:t>
      </w:r>
      <w:r w:rsidR="00D04099">
        <w:rPr>
          <w:rFonts w:cs="Times New Roman"/>
        </w:rPr>
        <w:t xml:space="preserve">ow the national average of 20.0 percent. </w:t>
      </w:r>
    </w:p>
    <w:p w:rsidR="00D04099" w:rsidRDefault="00D04099" w:rsidP="006713BD">
      <w:pPr>
        <w:rPr>
          <w:rFonts w:cs="Times New Roman"/>
        </w:rPr>
      </w:pPr>
    </w:p>
    <w:p w:rsidR="006713BD" w:rsidRPr="00A51799" w:rsidRDefault="006713BD" w:rsidP="0030434D">
      <w:pPr>
        <w:keepNext/>
        <w:spacing w:line="240" w:lineRule="auto"/>
        <w:rPr>
          <w:rFonts w:cs="Times New Roman"/>
          <w:u w:val="single"/>
        </w:rPr>
      </w:pPr>
      <w:r w:rsidRPr="00A51799">
        <w:rPr>
          <w:rFonts w:cs="Times New Roman"/>
          <w:u w:val="single"/>
        </w:rPr>
        <w:t>Below Average Teacher Salaries</w:t>
      </w:r>
    </w:p>
    <w:p w:rsidR="009712C8" w:rsidRPr="00F40195" w:rsidRDefault="009712C8" w:rsidP="009712C8">
      <w:pPr>
        <w:widowControl w:val="0"/>
        <w:autoSpaceDE w:val="0"/>
        <w:autoSpaceDN w:val="0"/>
        <w:adjustRightInd w:val="0"/>
        <w:spacing w:after="240" w:line="240" w:lineRule="auto"/>
        <w:rPr>
          <w:rFonts w:cs="Times New Roman"/>
        </w:rPr>
      </w:pPr>
      <w:r w:rsidRPr="00F40195">
        <w:rPr>
          <w:rFonts w:cs="Times New Roman"/>
        </w:rPr>
        <w:t xml:space="preserve">Data collected by </w:t>
      </w:r>
      <w:r>
        <w:rPr>
          <w:rFonts w:cs="Times New Roman"/>
        </w:rPr>
        <w:t>NCES</w:t>
      </w:r>
      <w:r w:rsidRPr="00F40195">
        <w:rPr>
          <w:rFonts w:cs="Times New Roman"/>
        </w:rPr>
        <w:t xml:space="preserve"> show that employee salaries and benefits account for just over 80 percent of all public school expenditures. The majority of these salary and benefit expenses can be traced to teacher salaries. Consequently, increases in teacher pay and/or increases in the number of teachers employed in a state can drive up total educational expenditures. </w:t>
      </w:r>
    </w:p>
    <w:p w:rsidR="009712C8" w:rsidRPr="00F40195" w:rsidRDefault="009712C8" w:rsidP="009712C8">
      <w:pPr>
        <w:widowControl w:val="0"/>
        <w:autoSpaceDE w:val="0"/>
        <w:autoSpaceDN w:val="0"/>
        <w:adjustRightInd w:val="0"/>
        <w:spacing w:after="240" w:line="240" w:lineRule="auto"/>
        <w:rPr>
          <w:rFonts w:cs="Times New Roman"/>
        </w:rPr>
      </w:pPr>
      <w:r w:rsidRPr="00F40195">
        <w:rPr>
          <w:rFonts w:cs="Times New Roman"/>
        </w:rPr>
        <w:t xml:space="preserve">In 2012-13, the average teacher salary in Kentucky was </w:t>
      </w:r>
      <w:r>
        <w:rPr>
          <w:rFonts w:cs="Times New Roman"/>
        </w:rPr>
        <w:t xml:space="preserve">$50,326, which was $6,057 (10.7 </w:t>
      </w:r>
      <w:proofErr w:type="gramStart"/>
      <w:r>
        <w:rPr>
          <w:rFonts w:cs="Times New Roman"/>
        </w:rPr>
        <w:t>percent</w:t>
      </w:r>
      <w:r w:rsidRPr="00F40195">
        <w:rPr>
          <w:rFonts w:cs="Times New Roman"/>
        </w:rPr>
        <w:t>)</w:t>
      </w:r>
      <w:proofErr w:type="gramEnd"/>
      <w:r w:rsidRPr="00F40195">
        <w:rPr>
          <w:rFonts w:cs="Times New Roman"/>
        </w:rPr>
        <w:t xml:space="preserve"> lower than the national average teacher salary of $56,383. In 2003-2004 average teacher salaries in Kentucky were $40,240</w:t>
      </w:r>
      <w:r w:rsidR="003B57EA">
        <w:rPr>
          <w:rFonts w:cs="Times New Roman"/>
        </w:rPr>
        <w:t>,</w:t>
      </w:r>
      <w:r w:rsidRPr="00F40195">
        <w:rPr>
          <w:rFonts w:cs="Times New Roman"/>
        </w:rPr>
        <w:t xml:space="preserve"> or 13.8 percent lower than the national average of $46,704. Between 2003-04 and 2012-13 Kentucky’s teacher salaries grew by $</w:t>
      </w:r>
      <w:proofErr w:type="gramStart"/>
      <w:r w:rsidRPr="00F40195">
        <w:rPr>
          <w:rFonts w:cs="Times New Roman"/>
        </w:rPr>
        <w:t>10,086</w:t>
      </w:r>
      <w:r w:rsidR="003B57EA">
        <w:rPr>
          <w:rFonts w:cs="Times New Roman"/>
        </w:rPr>
        <w:t>,</w:t>
      </w:r>
      <w:proofErr w:type="gramEnd"/>
      <w:r w:rsidRPr="00F40195">
        <w:rPr>
          <w:rFonts w:cs="Times New Roman"/>
        </w:rPr>
        <w:t xml:space="preserve"> or 25.1 percent while the national average teacher salary during that time grew by $9,679 for an increase of 20.7 percent</w:t>
      </w:r>
      <w:r w:rsidR="006B5843">
        <w:rPr>
          <w:rFonts w:cs="Times New Roman"/>
        </w:rPr>
        <w:t xml:space="preserve"> (NEA 2014)</w:t>
      </w:r>
      <w:r w:rsidRPr="00F40195">
        <w:rPr>
          <w:rFonts w:cs="Times New Roman"/>
        </w:rPr>
        <w:t xml:space="preserve">. </w:t>
      </w:r>
    </w:p>
    <w:p w:rsidR="008B5305" w:rsidRDefault="008B5305" w:rsidP="0030434D">
      <w:pPr>
        <w:spacing w:line="240" w:lineRule="auto"/>
        <w:rPr>
          <w:rFonts w:cs="Times New Roman"/>
        </w:rPr>
      </w:pPr>
    </w:p>
    <w:p w:rsidR="006713BD" w:rsidRPr="00A51799" w:rsidRDefault="006713BD" w:rsidP="0030434D">
      <w:pPr>
        <w:spacing w:line="240" w:lineRule="auto"/>
        <w:rPr>
          <w:rFonts w:cs="Times New Roman"/>
          <w:u w:val="single"/>
        </w:rPr>
      </w:pPr>
      <w:r w:rsidRPr="00A51799">
        <w:rPr>
          <w:rFonts w:cs="Times New Roman"/>
          <w:u w:val="single"/>
        </w:rPr>
        <w:lastRenderedPageBreak/>
        <w:t>Mixed Educational Outcomes</w:t>
      </w:r>
    </w:p>
    <w:p w:rsidR="006713BD" w:rsidRDefault="006713BD" w:rsidP="0030434D">
      <w:pPr>
        <w:spacing w:line="240" w:lineRule="auto"/>
      </w:pPr>
      <w:r>
        <w:t>This study reviewed two different types of educational outcomes</w:t>
      </w:r>
      <w:r w:rsidR="00A51799">
        <w:t>. T</w:t>
      </w:r>
      <w:r>
        <w:t xml:space="preserve">he first </w:t>
      </w:r>
      <w:r w:rsidR="00A51799">
        <w:t>outcome is</w:t>
      </w:r>
      <w:r>
        <w:t xml:space="preserve"> high school graduation rates</w:t>
      </w:r>
      <w:r w:rsidR="000A640F">
        <w:t>,</w:t>
      </w:r>
      <w:r>
        <w:t xml:space="preserve"> and the second </w:t>
      </w:r>
      <w:r w:rsidR="000B2E06">
        <w:t xml:space="preserve">is </w:t>
      </w:r>
      <w:r>
        <w:t>National Assessment of Educational Progress (NAEP) exam results. According to National Center for Educational Statistics (NCES) Kentucky’s four-year high school graduation rate generally exceeded the national average over the past five years.</w:t>
      </w:r>
    </w:p>
    <w:p w:rsidR="000B2E06" w:rsidRDefault="000B2E06" w:rsidP="006713BD"/>
    <w:p w:rsidR="006713BD" w:rsidRDefault="006713BD" w:rsidP="0030434D">
      <w:pPr>
        <w:spacing w:line="240" w:lineRule="auto"/>
      </w:pPr>
      <w:r>
        <w:t>While Kentucky’s four-year high school graduation rate tends to be above the national average</w:t>
      </w:r>
      <w:r w:rsidR="000B2E06">
        <w:t>,</w:t>
      </w:r>
      <w:r>
        <w:t xml:space="preserve"> it </w:t>
      </w:r>
      <w:r w:rsidR="000B2E06">
        <w:t>fall</w:t>
      </w:r>
      <w:r w:rsidR="000A640F">
        <w:t>s</w:t>
      </w:r>
      <w:r w:rsidR="000B2E06">
        <w:t xml:space="preserve"> in the middle of rates for comparable states</w:t>
      </w:r>
      <w:r>
        <w:t>. In FY 2009-10 Kentucky</w:t>
      </w:r>
      <w:r w:rsidR="008B5305">
        <w:t>’s graduation rate of 79.9 percent</w:t>
      </w:r>
      <w:r w:rsidR="00B94C1F">
        <w:t xml:space="preserve"> trailed that of Missouri (83.7 percent), Ohio (81.4 percent) and Tennessee (80.4 percent</w:t>
      </w:r>
      <w:r>
        <w:t>)</w:t>
      </w:r>
      <w:r w:rsidR="000B2E06">
        <w:t>,</w:t>
      </w:r>
      <w:r>
        <w:t xml:space="preserve"> but </w:t>
      </w:r>
      <w:r w:rsidR="000B2E06">
        <w:t xml:space="preserve">it was </w:t>
      </w:r>
      <w:r w:rsidR="00B94C1F">
        <w:t>above West Virginia (78.3 percent), Indiana (77.2 percent), Arkansas (75.0 percent) and Alabama (71.8</w:t>
      </w:r>
      <w:r w:rsidR="00B94C1F" w:rsidRPr="00B94C1F">
        <w:t xml:space="preserve"> </w:t>
      </w:r>
      <w:r w:rsidR="00B94C1F">
        <w:t>percent</w:t>
      </w:r>
      <w:r>
        <w:t xml:space="preserve">). </w:t>
      </w:r>
    </w:p>
    <w:p w:rsidR="008B5305" w:rsidRDefault="008B5305" w:rsidP="0030434D">
      <w:pPr>
        <w:spacing w:line="240" w:lineRule="auto"/>
      </w:pPr>
    </w:p>
    <w:p w:rsidR="006713BD" w:rsidRPr="00A51799" w:rsidRDefault="006713BD" w:rsidP="0030434D">
      <w:pPr>
        <w:spacing w:line="240" w:lineRule="auto"/>
        <w:rPr>
          <w:u w:val="single"/>
        </w:rPr>
      </w:pPr>
      <w:r w:rsidRPr="00A51799">
        <w:rPr>
          <w:u w:val="single"/>
        </w:rPr>
        <w:t>Mixed NAEP Results</w:t>
      </w:r>
    </w:p>
    <w:p w:rsidR="00FB3EB1" w:rsidRDefault="006713BD" w:rsidP="0030434D">
      <w:pPr>
        <w:spacing w:line="240" w:lineRule="auto"/>
      </w:pPr>
      <w:r>
        <w:t xml:space="preserve">Kentucky’s 2013 results for the NAEP reading and math exams </w:t>
      </w:r>
      <w:r w:rsidR="00FA0F73">
        <w:t xml:space="preserve">held </w:t>
      </w:r>
      <w:r w:rsidR="000A640F">
        <w:t>constant</w:t>
      </w:r>
      <w:r>
        <w:t>. On the positive side</w:t>
      </w:r>
      <w:r w:rsidR="00A51799">
        <w:t>,</w:t>
      </w:r>
      <w:r>
        <w:t xml:space="preserve"> the percentage of Kentucky students finishing “at or above proficient” on the 4</w:t>
      </w:r>
      <w:r>
        <w:rPr>
          <w:vertAlign w:val="superscript"/>
        </w:rPr>
        <w:t>th</w:t>
      </w:r>
      <w:r>
        <w:t xml:space="preserve"> and 8</w:t>
      </w:r>
      <w:r>
        <w:rPr>
          <w:vertAlign w:val="superscript"/>
        </w:rPr>
        <w:t>th</w:t>
      </w:r>
      <w:r>
        <w:t xml:space="preserve"> grade reading exams was above the national average. The percentage of Kentucky students who finish at or above proficient on the 4</w:t>
      </w:r>
      <w:r>
        <w:rPr>
          <w:vertAlign w:val="superscript"/>
        </w:rPr>
        <w:t>th</w:t>
      </w:r>
      <w:r>
        <w:t xml:space="preserve"> grade math exam was at the national average but Kentucky’s 8</w:t>
      </w:r>
      <w:r>
        <w:rPr>
          <w:vertAlign w:val="superscript"/>
        </w:rPr>
        <w:t>th</w:t>
      </w:r>
      <w:r>
        <w:t xml:space="preserve"> grade math students finished behin</w:t>
      </w:r>
      <w:r w:rsidR="00934C22">
        <w:t>d the national average.</w:t>
      </w:r>
      <w:r w:rsidR="00DF7022">
        <w:t xml:space="preserve"> </w:t>
      </w:r>
    </w:p>
    <w:p w:rsidR="00FB3EB1" w:rsidRDefault="00FB3EB1" w:rsidP="0030434D">
      <w:pPr>
        <w:spacing w:line="240" w:lineRule="auto"/>
      </w:pPr>
    </w:p>
    <w:p w:rsidR="008D674A" w:rsidRDefault="00FB3EB1" w:rsidP="0030434D">
      <w:pPr>
        <w:spacing w:line="240" w:lineRule="auto"/>
      </w:pPr>
      <w:r>
        <w:t>These student performance results are notable because</w:t>
      </w:r>
      <w:r w:rsidR="00DF7022">
        <w:t xml:space="preserve"> KY’s </w:t>
      </w:r>
      <w:r>
        <w:t>percentage of FRPL students (</w:t>
      </w:r>
      <w:r w:rsidR="00DF7022">
        <w:t>54 percent</w:t>
      </w:r>
      <w:r>
        <w:t>)</w:t>
      </w:r>
      <w:r w:rsidR="00DF7022">
        <w:t xml:space="preserve"> </w:t>
      </w:r>
      <w:r>
        <w:t>is higher than the</w:t>
      </w:r>
      <w:r w:rsidR="005A4FB8">
        <w:t xml:space="preserve"> national average of 49.6</w:t>
      </w:r>
      <w:r w:rsidR="00DF7022">
        <w:t xml:space="preserve"> percent (NCES, 2013).</w:t>
      </w:r>
    </w:p>
    <w:p w:rsidR="00934C22" w:rsidRDefault="00934C22" w:rsidP="0030434D">
      <w:pPr>
        <w:spacing w:line="240" w:lineRule="auto"/>
      </w:pPr>
    </w:p>
    <w:p w:rsidR="007162A8" w:rsidRPr="008D674A" w:rsidRDefault="007162A8" w:rsidP="00513536">
      <w:pPr>
        <w:pStyle w:val="Heading3"/>
        <w:spacing w:before="0" w:after="0"/>
      </w:pPr>
      <w:bookmarkStart w:id="6" w:name="_Toc395180637"/>
      <w:r w:rsidRPr="008D674A">
        <w:t>An Evidence Based Adequacy Model</w:t>
      </w:r>
      <w:bookmarkEnd w:id="6"/>
    </w:p>
    <w:p w:rsidR="00CD1805" w:rsidRPr="00F40195" w:rsidRDefault="00CD1805" w:rsidP="00513536">
      <w:pPr>
        <w:spacing w:line="240" w:lineRule="auto"/>
        <w:rPr>
          <w:rFonts w:cs="Times New Roman"/>
        </w:rPr>
      </w:pPr>
      <w:r w:rsidRPr="00F40195">
        <w:rPr>
          <w:rFonts w:cs="Times New Roman"/>
        </w:rPr>
        <w:t>The Evidence-Based (EB) approach identifies a cohesive set of school-level resources, or elements, required to deliver a comprehensive and high-quality instructional program and describes the evidence on programmatic effectiveness. This approach then estimates an adequate expenditure level by placing a price on each element (e.g., an appropriate salary and benefits level for personnel) according to prototypical elementary, middle and high schools</w:t>
      </w:r>
      <w:r w:rsidR="00930595">
        <w:rPr>
          <w:rFonts w:cs="Times New Roman"/>
        </w:rPr>
        <w:t>.</w:t>
      </w:r>
      <w:r w:rsidR="00FB3EB1">
        <w:rPr>
          <w:rFonts w:cs="Times New Roman"/>
        </w:rPr>
        <w:t xml:space="preserve">  </w:t>
      </w:r>
      <w:r w:rsidRPr="00F40195">
        <w:rPr>
          <w:rFonts w:cs="Times New Roman"/>
        </w:rPr>
        <w:t xml:space="preserve">School resources are aggregated to the district level, at which point central office staff and maintenance and operations resources are added, along with other costs that are not modeled in the Evidence-Based Approach (e.g., transportation and debt service). The final step involves aggregating the cost of all school- and district-level elements to a total statewide cost and to compare this cost with the 2012-13 SEEK expenditures. </w:t>
      </w:r>
    </w:p>
    <w:p w:rsidR="00CD1805" w:rsidRPr="00F40195" w:rsidRDefault="00CD1805" w:rsidP="00CD1805">
      <w:pPr>
        <w:spacing w:line="240" w:lineRule="auto"/>
        <w:rPr>
          <w:rFonts w:cs="Times New Roman"/>
        </w:rPr>
      </w:pPr>
    </w:p>
    <w:p w:rsidR="00CD1805" w:rsidRPr="00F40195" w:rsidRDefault="00CD1805" w:rsidP="00CD1805">
      <w:pPr>
        <w:spacing w:line="240" w:lineRule="auto"/>
        <w:rPr>
          <w:rFonts w:cs="Times New Roman"/>
        </w:rPr>
      </w:pPr>
      <w:r w:rsidRPr="00F40195">
        <w:rPr>
          <w:rFonts w:cs="Times New Roman"/>
        </w:rPr>
        <w:t>The EB approach is based on a review of the research evidence, originating from three primary source types:</w:t>
      </w:r>
    </w:p>
    <w:p w:rsidR="00CD1805" w:rsidRPr="00F40195" w:rsidRDefault="00CD1805" w:rsidP="00CD1805">
      <w:pPr>
        <w:pStyle w:val="ListParagraph"/>
        <w:numPr>
          <w:ilvl w:val="0"/>
          <w:numId w:val="25"/>
        </w:numPr>
        <w:spacing w:line="240" w:lineRule="auto"/>
        <w:rPr>
          <w:rFonts w:cs="Times New Roman"/>
        </w:rPr>
      </w:pPr>
      <w:r w:rsidRPr="00F40195">
        <w:rPr>
          <w:rFonts w:cs="Times New Roman"/>
        </w:rPr>
        <w:t>Research with randomized assignment to the treatment (the “gold standard” of evidence)</w:t>
      </w:r>
    </w:p>
    <w:p w:rsidR="00CD1805" w:rsidRPr="00F40195" w:rsidRDefault="00CD1805" w:rsidP="00CD1805">
      <w:pPr>
        <w:pStyle w:val="Normaldble"/>
        <w:numPr>
          <w:ilvl w:val="0"/>
          <w:numId w:val="25"/>
        </w:numPr>
        <w:spacing w:line="240" w:lineRule="auto"/>
      </w:pPr>
      <w:r w:rsidRPr="00F40195">
        <w:t>Research with other types of controls or statistical procedures that can help separate the impact of a treatment, including such methods as meta-analyses and longitudinal studies</w:t>
      </w:r>
    </w:p>
    <w:p w:rsidR="00CD1805" w:rsidRPr="00F40195" w:rsidRDefault="00CD1805" w:rsidP="00CD1805">
      <w:pPr>
        <w:pStyle w:val="Normaldble"/>
        <w:numPr>
          <w:ilvl w:val="0"/>
          <w:numId w:val="25"/>
        </w:numPr>
        <w:spacing w:line="240" w:lineRule="auto"/>
      </w:pPr>
      <w:r w:rsidRPr="00F40195">
        <w:t xml:space="preserve">Best practices either as codified in a comprehensive school design (e.g., Stringfield, Ross &amp; Smith, 1996) or from studies of schools that have dramatically improved </w:t>
      </w:r>
      <w:r w:rsidRPr="00F40195">
        <w:lastRenderedPageBreak/>
        <w:t>student learning (e.g., Blankstein, 2010, 2011; Chenoweth, 2007; 2011; Odden, 2009; and Odden &amp; Archibald, 2009).</w:t>
      </w:r>
    </w:p>
    <w:p w:rsidR="00CD1805" w:rsidRPr="00F40195" w:rsidRDefault="00CD1805" w:rsidP="00CD1805">
      <w:pPr>
        <w:pStyle w:val="Normaldble"/>
        <w:spacing w:line="240" w:lineRule="auto"/>
        <w:ind w:firstLine="0"/>
      </w:pPr>
    </w:p>
    <w:p w:rsidR="00CD1805" w:rsidRDefault="00CD1805" w:rsidP="006713BD"/>
    <w:p w:rsidR="00A62AAE" w:rsidRDefault="00A62AAE">
      <w:pPr>
        <w:rPr>
          <w:rFonts w:eastAsia="Times New Roman" w:cs="Times New Roman"/>
          <w:b/>
          <w:bCs/>
          <w:caps/>
          <w:szCs w:val="28"/>
        </w:rPr>
      </w:pPr>
      <w:r>
        <w:rPr>
          <w:rFonts w:eastAsia="Times New Roman" w:cs="Times New Roman"/>
          <w:b/>
          <w:bCs/>
          <w:caps/>
          <w:szCs w:val="28"/>
        </w:rPr>
        <w:br w:type="page"/>
      </w:r>
    </w:p>
    <w:p w:rsidR="00CC79D7" w:rsidRDefault="0048467C" w:rsidP="007162A8">
      <w:pPr>
        <w:pStyle w:val="Heading1"/>
      </w:pPr>
      <w:bookmarkStart w:id="7" w:name="_Toc395180638"/>
      <w:r w:rsidRPr="00F40195">
        <w:lastRenderedPageBreak/>
        <w:t>Chapter 1:</w:t>
      </w:r>
      <w:r w:rsidR="00090DBD">
        <w:t xml:space="preserve"> </w:t>
      </w:r>
      <w:r w:rsidR="00CC79D7">
        <w:t xml:space="preserve"> </w:t>
      </w:r>
      <w:r w:rsidRPr="00F40195">
        <w:t>Introduction</w:t>
      </w:r>
      <w:bookmarkEnd w:id="7"/>
      <w:bookmarkEnd w:id="1"/>
    </w:p>
    <w:p w:rsidR="00D9750A" w:rsidRPr="00F40195" w:rsidRDefault="00D9750A" w:rsidP="003B57EA">
      <w:pPr>
        <w:pStyle w:val="Heading3"/>
      </w:pPr>
      <w:bookmarkStart w:id="8" w:name="_Toc395180639"/>
      <w:r w:rsidRPr="00F40195">
        <w:t>Purpose and overview of study</w:t>
      </w:r>
      <w:bookmarkEnd w:id="8"/>
    </w:p>
    <w:p w:rsidR="006819A4" w:rsidRPr="00F40195" w:rsidRDefault="00BB75E2" w:rsidP="00F40195">
      <w:pPr>
        <w:spacing w:line="240" w:lineRule="auto"/>
        <w:rPr>
          <w:rFonts w:cs="Times New Roman"/>
        </w:rPr>
      </w:pPr>
      <w:r w:rsidRPr="00F40195">
        <w:rPr>
          <w:rFonts w:cs="Times New Roman"/>
        </w:rPr>
        <w:t>A leader</w:t>
      </w:r>
      <w:r w:rsidR="006819A4" w:rsidRPr="00F40195">
        <w:rPr>
          <w:rFonts w:cs="Times New Roman"/>
        </w:rPr>
        <w:t xml:space="preserve"> in the nation for educational reform, Kentucky again places itself at the forefront of change as the first state to implement curriculum and assessments aligned to the Common Core State Standards (CCSS). The General Assembly, through passage of Senate Bill 1 (2009), made clear that Kentucky will reform to ensure that students meet aggressive learning outcomes in English/language arts and mathematics. Kentucky now faces the challenge of systematically changing educational goals and the way in which students are educated. As Kentucky grows into this new system, it is imperative that the funding mechanisms to support such an ambitious endeavor continue to meet the constitutional requirements of an </w:t>
      </w:r>
      <w:r w:rsidR="00A008DD" w:rsidRPr="00F40195">
        <w:rPr>
          <w:rFonts w:cs="Times New Roman"/>
        </w:rPr>
        <w:t xml:space="preserve">adequate and </w:t>
      </w:r>
      <w:r w:rsidR="006819A4" w:rsidRPr="00F40195">
        <w:rPr>
          <w:rFonts w:cs="Times New Roman"/>
        </w:rPr>
        <w:t xml:space="preserve">equitable funding system. </w:t>
      </w:r>
      <w:r w:rsidR="008113D2" w:rsidRPr="00F40195">
        <w:rPr>
          <w:rFonts w:cs="Times New Roman"/>
        </w:rPr>
        <w:t xml:space="preserve">This document </w:t>
      </w:r>
      <w:r w:rsidR="006819A4" w:rsidRPr="00F40195">
        <w:rPr>
          <w:rFonts w:cs="Times New Roman"/>
        </w:rPr>
        <w:t>outlines a way to assist the systemic reform necessary to match CCSS implemented in 2010.</w:t>
      </w:r>
    </w:p>
    <w:p w:rsidR="006819A4" w:rsidRPr="00F40195" w:rsidRDefault="006819A4" w:rsidP="00F40195">
      <w:pPr>
        <w:spacing w:line="240" w:lineRule="auto"/>
        <w:rPr>
          <w:rFonts w:cs="Times New Roman"/>
        </w:rPr>
      </w:pPr>
    </w:p>
    <w:p w:rsidR="006819A4" w:rsidRPr="00F40195" w:rsidRDefault="006819A4" w:rsidP="00F40195">
      <w:pPr>
        <w:spacing w:line="240" w:lineRule="auto"/>
        <w:rPr>
          <w:rFonts w:cs="Times New Roman"/>
        </w:rPr>
      </w:pPr>
      <w:r w:rsidRPr="00F40195">
        <w:rPr>
          <w:rFonts w:cs="Times New Roman"/>
        </w:rPr>
        <w:t xml:space="preserve">It has been a decade since researchers completed formal, independent </w:t>
      </w:r>
      <w:r w:rsidR="00A008DD" w:rsidRPr="00F40195">
        <w:rPr>
          <w:rFonts w:cs="Times New Roman"/>
        </w:rPr>
        <w:t xml:space="preserve">adequacy </w:t>
      </w:r>
      <w:r w:rsidR="00513536">
        <w:rPr>
          <w:rFonts w:cs="Times New Roman"/>
        </w:rPr>
        <w:t>and</w:t>
      </w:r>
      <w:r w:rsidR="00513536" w:rsidRPr="00F40195">
        <w:rPr>
          <w:rFonts w:cs="Times New Roman"/>
        </w:rPr>
        <w:t xml:space="preserve"> </w:t>
      </w:r>
      <w:r w:rsidR="00A008DD" w:rsidRPr="00F40195">
        <w:rPr>
          <w:rFonts w:cs="Times New Roman"/>
        </w:rPr>
        <w:t xml:space="preserve">equity </w:t>
      </w:r>
      <w:r w:rsidRPr="00F40195">
        <w:rPr>
          <w:rFonts w:cs="Times New Roman"/>
        </w:rPr>
        <w:t xml:space="preserve">analyses of Kentucky (see Adams &amp; White, 2003; Odden, Picus, &amp; Fermanich, 2003a, 2003b; Picus, Odden, &amp; Fermanich, 2001; Verstegan, 2003). At the time of these studies, </w:t>
      </w:r>
      <w:r w:rsidR="004827F9">
        <w:rPr>
          <w:rFonts w:cs="Times New Roman"/>
        </w:rPr>
        <w:t xml:space="preserve">the </w:t>
      </w:r>
      <w:r w:rsidRPr="00F40195">
        <w:rPr>
          <w:rFonts w:cs="Times New Roman"/>
        </w:rPr>
        <w:t xml:space="preserve">funding was found to be </w:t>
      </w:r>
      <w:r w:rsidRPr="00F40195">
        <w:rPr>
          <w:rFonts w:cs="Times New Roman"/>
          <w:i/>
        </w:rPr>
        <w:t>equitable</w:t>
      </w:r>
      <w:r w:rsidRPr="00F40195">
        <w:rPr>
          <w:rFonts w:cs="Times New Roman"/>
        </w:rPr>
        <w:t xml:space="preserve"> according to generally accepted statistics of</w:t>
      </w:r>
      <w:r w:rsidR="004827F9">
        <w:rPr>
          <w:rFonts w:cs="Times New Roman"/>
        </w:rPr>
        <w:t xml:space="preserve"> horizontal equity and</w:t>
      </w:r>
      <w:r w:rsidRPr="00F40195">
        <w:rPr>
          <w:rFonts w:cs="Times New Roman"/>
        </w:rPr>
        <w:t xml:space="preserve"> </w:t>
      </w:r>
      <w:r w:rsidR="00E65333">
        <w:rPr>
          <w:rFonts w:cs="Times New Roman"/>
        </w:rPr>
        <w:t>fiscal neutrality</w:t>
      </w:r>
      <w:r w:rsidR="00E65333" w:rsidRPr="00F40195">
        <w:rPr>
          <w:rFonts w:cs="Times New Roman"/>
        </w:rPr>
        <w:t xml:space="preserve"> </w:t>
      </w:r>
      <w:r w:rsidRPr="00F40195">
        <w:rPr>
          <w:rFonts w:cs="Times New Roman"/>
        </w:rPr>
        <w:t xml:space="preserve">(i.e. educational expenditures </w:t>
      </w:r>
      <w:r w:rsidR="004827F9">
        <w:rPr>
          <w:rFonts w:cs="Times New Roman"/>
        </w:rPr>
        <w:t xml:space="preserve">were not dramatically unequal across districts and </w:t>
      </w:r>
      <w:r w:rsidRPr="00F40195">
        <w:rPr>
          <w:rFonts w:cs="Times New Roman"/>
        </w:rPr>
        <w:t xml:space="preserve">did not correlate substantially with property wealth). In </w:t>
      </w:r>
      <w:r w:rsidR="004827F9">
        <w:rPr>
          <w:rFonts w:cs="Times New Roman"/>
        </w:rPr>
        <w:t xml:space="preserve">terms of adequacy, though, the system fell short: </w:t>
      </w:r>
      <w:r w:rsidRPr="00F40195">
        <w:rPr>
          <w:rFonts w:cs="Times New Roman"/>
        </w:rPr>
        <w:t>the Picus, Odden, &amp; Fermanich (2003) and Verstegan (2003) studies</w:t>
      </w:r>
      <w:r w:rsidR="00513536">
        <w:rPr>
          <w:rFonts w:cs="Times New Roman"/>
        </w:rPr>
        <w:t xml:space="preserve"> </w:t>
      </w:r>
      <w:r w:rsidR="0047332E">
        <w:rPr>
          <w:rFonts w:cs="Times New Roman"/>
        </w:rPr>
        <w:t>of the adequacy of the system</w:t>
      </w:r>
      <w:r w:rsidRPr="00F40195">
        <w:rPr>
          <w:rFonts w:cs="Times New Roman"/>
        </w:rPr>
        <w:t xml:space="preserve"> </w:t>
      </w:r>
      <w:r w:rsidR="0047332E">
        <w:rPr>
          <w:rFonts w:cs="Times New Roman"/>
        </w:rPr>
        <w:t>found</w:t>
      </w:r>
      <w:r w:rsidR="0047332E" w:rsidRPr="00F40195">
        <w:rPr>
          <w:rFonts w:cs="Times New Roman"/>
        </w:rPr>
        <w:t xml:space="preserve"> </w:t>
      </w:r>
      <w:r w:rsidRPr="00F40195">
        <w:rPr>
          <w:rFonts w:cs="Times New Roman"/>
          <w:i/>
        </w:rPr>
        <w:t>inadequate</w:t>
      </w:r>
      <w:r w:rsidRPr="00F40195">
        <w:rPr>
          <w:rFonts w:cs="Times New Roman"/>
        </w:rPr>
        <w:t xml:space="preserve"> state educational </w:t>
      </w:r>
      <w:r w:rsidR="00667CC1" w:rsidRPr="00F40195">
        <w:rPr>
          <w:rFonts w:cs="Times New Roman"/>
        </w:rPr>
        <w:t xml:space="preserve">funding </w:t>
      </w:r>
      <w:r w:rsidR="0047332E">
        <w:rPr>
          <w:rFonts w:cs="Times New Roman"/>
        </w:rPr>
        <w:t xml:space="preserve">from </w:t>
      </w:r>
      <w:r w:rsidRPr="00F40195">
        <w:rPr>
          <w:rFonts w:cs="Times New Roman"/>
        </w:rPr>
        <w:t>$740 million and $1.23 billion (</w:t>
      </w:r>
      <w:r w:rsidR="00010578" w:rsidRPr="00F40195">
        <w:rPr>
          <w:rFonts w:cs="Times New Roman"/>
        </w:rPr>
        <w:t xml:space="preserve">both using </w:t>
      </w:r>
      <w:r w:rsidRPr="00F40195">
        <w:rPr>
          <w:rFonts w:cs="Times New Roman"/>
        </w:rPr>
        <w:t>2001-02</w:t>
      </w:r>
      <w:r w:rsidR="00010578" w:rsidRPr="00F40195">
        <w:rPr>
          <w:rFonts w:cs="Times New Roman"/>
        </w:rPr>
        <w:t xml:space="preserve"> data</w:t>
      </w:r>
      <w:r w:rsidRPr="00F40195">
        <w:rPr>
          <w:rFonts w:cs="Times New Roman"/>
        </w:rPr>
        <w:t xml:space="preserve">), respectively. Given the </w:t>
      </w:r>
      <w:r w:rsidR="000827F8" w:rsidRPr="00F40195">
        <w:rPr>
          <w:rFonts w:cs="Times New Roman"/>
        </w:rPr>
        <w:t>length of time since these</w:t>
      </w:r>
      <w:r w:rsidRPr="00F40195">
        <w:rPr>
          <w:rFonts w:cs="Times New Roman"/>
        </w:rPr>
        <w:t xml:space="preserve"> studies</w:t>
      </w:r>
      <w:r w:rsidR="000827F8" w:rsidRPr="00F40195">
        <w:rPr>
          <w:rFonts w:cs="Times New Roman"/>
        </w:rPr>
        <w:t xml:space="preserve"> were conducted</w:t>
      </w:r>
      <w:r w:rsidRPr="00F40195">
        <w:rPr>
          <w:rFonts w:cs="Times New Roman"/>
        </w:rPr>
        <w:t xml:space="preserve">, implementation of new, higher academic standards, and recent assessment outcomes, the </w:t>
      </w:r>
      <w:r w:rsidR="00513536">
        <w:rPr>
          <w:rFonts w:cs="Times New Roman"/>
        </w:rPr>
        <w:t xml:space="preserve">adequacy of the </w:t>
      </w:r>
      <w:r w:rsidRPr="00F40195">
        <w:rPr>
          <w:rFonts w:cs="Times New Roman"/>
        </w:rPr>
        <w:t>Kentucky school finance system must again be evaluated, and likely recalibrated, now in light of CCSS.</w:t>
      </w:r>
    </w:p>
    <w:p w:rsidR="006819A4" w:rsidRPr="00F40195" w:rsidRDefault="006819A4" w:rsidP="00F40195">
      <w:pPr>
        <w:spacing w:line="240" w:lineRule="auto"/>
        <w:rPr>
          <w:rFonts w:cs="Times New Roman"/>
        </w:rPr>
      </w:pPr>
    </w:p>
    <w:p w:rsidR="006819A4" w:rsidRPr="00F40195" w:rsidRDefault="00604741" w:rsidP="00F40195">
      <w:pPr>
        <w:spacing w:line="240" w:lineRule="auto"/>
        <w:rPr>
          <w:rFonts w:cs="Times New Roman"/>
        </w:rPr>
      </w:pPr>
      <w:r w:rsidRPr="00F40195">
        <w:rPr>
          <w:rFonts w:cs="Times New Roman"/>
        </w:rPr>
        <w:t xml:space="preserve">This document </w:t>
      </w:r>
      <w:r w:rsidR="000827F8" w:rsidRPr="00F40195">
        <w:rPr>
          <w:rFonts w:cs="Times New Roman"/>
        </w:rPr>
        <w:t>describes</w:t>
      </w:r>
      <w:r w:rsidRPr="00F40195">
        <w:rPr>
          <w:rFonts w:cs="Times New Roman"/>
        </w:rPr>
        <w:t xml:space="preserve"> </w:t>
      </w:r>
      <w:r w:rsidR="006819A4" w:rsidRPr="00F40195">
        <w:rPr>
          <w:rFonts w:cs="Times New Roman"/>
        </w:rPr>
        <w:t>Picus Odden &amp; Associates</w:t>
      </w:r>
      <w:r w:rsidRPr="00F40195">
        <w:rPr>
          <w:rFonts w:cs="Times New Roman"/>
        </w:rPr>
        <w:t xml:space="preserve">’ findings </w:t>
      </w:r>
      <w:r w:rsidR="000827F8" w:rsidRPr="00F40195">
        <w:rPr>
          <w:rFonts w:cs="Times New Roman"/>
        </w:rPr>
        <w:t>from</w:t>
      </w:r>
      <w:r w:rsidRPr="00F40195">
        <w:rPr>
          <w:rFonts w:cs="Times New Roman"/>
        </w:rPr>
        <w:t xml:space="preserve"> </w:t>
      </w:r>
      <w:r w:rsidR="006819A4" w:rsidRPr="00F40195">
        <w:rPr>
          <w:rFonts w:cs="Times New Roman"/>
        </w:rPr>
        <w:t xml:space="preserve">a contemporary, independent review of Kentucky’s school finance system, drawing on our work with many states developing student outcome-focused, adequacy-based funding systems. We are confident our approach to reviewing and evaluating school funding systems will meet Kentucky policymakers’ expectations for assessing the state’s need to find resource allocation strategies that will lead to improved student outcomes. </w:t>
      </w:r>
      <w:r w:rsidR="005C5442">
        <w:rPr>
          <w:rFonts w:cs="Times New Roman"/>
        </w:rPr>
        <w:t>T</w:t>
      </w:r>
      <w:r w:rsidR="006819A4" w:rsidRPr="00F40195">
        <w:rPr>
          <w:rFonts w:cs="Times New Roman"/>
        </w:rPr>
        <w:t xml:space="preserve">en years ago the Kentucky Department of Education chose an </w:t>
      </w:r>
      <w:r w:rsidR="008963DD">
        <w:rPr>
          <w:rFonts w:cs="Times New Roman"/>
        </w:rPr>
        <w:t>E</w:t>
      </w:r>
      <w:r w:rsidR="006819A4" w:rsidRPr="00F40195">
        <w:rPr>
          <w:rFonts w:cs="Times New Roman"/>
        </w:rPr>
        <w:t>vidence-</w:t>
      </w:r>
      <w:r w:rsidR="008963DD">
        <w:rPr>
          <w:rFonts w:cs="Times New Roman"/>
        </w:rPr>
        <w:t>B</w:t>
      </w:r>
      <w:r w:rsidR="005A4FB8">
        <w:rPr>
          <w:rFonts w:cs="Times New Roman"/>
        </w:rPr>
        <w:t>ased A</w:t>
      </w:r>
      <w:r w:rsidR="006819A4" w:rsidRPr="00F40195">
        <w:rPr>
          <w:rFonts w:cs="Times New Roman"/>
        </w:rPr>
        <w:t>pproach to adequacy to understand the nature of the funding system.</w:t>
      </w:r>
      <w:r w:rsidR="005C5442">
        <w:rPr>
          <w:rFonts w:cs="Times New Roman"/>
        </w:rPr>
        <w:t xml:space="preserve">  T</w:t>
      </w:r>
      <w:r w:rsidR="006819A4" w:rsidRPr="00F40195">
        <w:rPr>
          <w:rFonts w:cs="Times New Roman"/>
        </w:rPr>
        <w:t>his method has been drastically improved in recent years by Picus Odden &amp; Associate’</w:t>
      </w:r>
      <w:r w:rsidR="00A008DD" w:rsidRPr="00F40195">
        <w:rPr>
          <w:rFonts w:cs="Times New Roman"/>
        </w:rPr>
        <w:t>s Principal Partners</w:t>
      </w:r>
      <w:r w:rsidR="006819A4" w:rsidRPr="00F40195">
        <w:rPr>
          <w:rFonts w:cs="Times New Roman"/>
        </w:rPr>
        <w:t xml:space="preserve"> to meet the changing needs of the school finance policy environment.</w:t>
      </w:r>
    </w:p>
    <w:p w:rsidR="006819A4" w:rsidRPr="00F40195" w:rsidRDefault="006819A4" w:rsidP="00F40195">
      <w:pPr>
        <w:spacing w:line="240" w:lineRule="auto"/>
        <w:rPr>
          <w:rFonts w:cs="Times New Roman"/>
        </w:rPr>
      </w:pPr>
    </w:p>
    <w:p w:rsidR="006819A4" w:rsidRPr="00F40195" w:rsidRDefault="006819A4" w:rsidP="00F40195">
      <w:pPr>
        <w:spacing w:line="240" w:lineRule="auto"/>
        <w:rPr>
          <w:rFonts w:cs="Times New Roman"/>
        </w:rPr>
      </w:pPr>
      <w:r w:rsidRPr="00F40195">
        <w:rPr>
          <w:rFonts w:cs="Times New Roman"/>
        </w:rPr>
        <w:t>School finance has too often been focused just on equitable funding levels, initially securing more money for lower-wealth, lower-spending districts. More recently the focus has shifted to ensur</w:t>
      </w:r>
      <w:r w:rsidR="00513536">
        <w:rPr>
          <w:rFonts w:cs="Times New Roman"/>
        </w:rPr>
        <w:t>ing</w:t>
      </w:r>
      <w:r w:rsidRPr="00F40195">
        <w:rPr>
          <w:rFonts w:cs="Times New Roman"/>
        </w:rPr>
        <w:t xml:space="preserve"> that all districts and schools have a sufficient level of money to </w:t>
      </w:r>
      <w:r w:rsidR="005C5442">
        <w:rPr>
          <w:rFonts w:cs="Times New Roman"/>
        </w:rPr>
        <w:t xml:space="preserve">meet </w:t>
      </w:r>
      <w:r w:rsidRPr="00F40195">
        <w:rPr>
          <w:rFonts w:cs="Times New Roman"/>
        </w:rPr>
        <w:t>academic proficiency levels—or adequate funding levels. However, money merely serves as a tool that produces the essential, desired end result of school finance equity and adequacy</w:t>
      </w:r>
      <w:r w:rsidR="00513536">
        <w:rPr>
          <w:rFonts w:cs="Times New Roman"/>
        </w:rPr>
        <w:t xml:space="preserve">—more powerful instructional strategies that accelerates </w:t>
      </w:r>
      <w:r w:rsidRPr="00F40195">
        <w:rPr>
          <w:rFonts w:cs="Times New Roman"/>
        </w:rPr>
        <w:t xml:space="preserve">student learning. As a result, school finance should be viewed as operating in a nexus between identifying programs and services that produce higher </w:t>
      </w:r>
      <w:r w:rsidRPr="00F40195">
        <w:rPr>
          <w:rFonts w:cs="Times New Roman"/>
        </w:rPr>
        <w:lastRenderedPageBreak/>
        <w:t xml:space="preserve">levels of learning, and evidence that the resources provided have been turned into instructional practice that boosts student achievement. In the case of Kentucky, as in most other states, this student achievement is primarily measured by the state-established </w:t>
      </w:r>
      <w:r w:rsidR="00451319">
        <w:rPr>
          <w:rFonts w:cs="Times New Roman"/>
        </w:rPr>
        <w:t>assessment</w:t>
      </w:r>
      <w:r w:rsidR="003341D4">
        <w:rPr>
          <w:rFonts w:cs="Times New Roman"/>
        </w:rPr>
        <w:t xml:space="preserve"> </w:t>
      </w:r>
      <w:r w:rsidR="00451319">
        <w:rPr>
          <w:rFonts w:cs="Times New Roman"/>
        </w:rPr>
        <w:t>of</w:t>
      </w:r>
      <w:r w:rsidRPr="00F40195">
        <w:rPr>
          <w:rFonts w:cs="Times New Roman"/>
        </w:rPr>
        <w:t xml:space="preserve"> the new and more rigorous Common Core State Standards.</w:t>
      </w:r>
    </w:p>
    <w:p w:rsidR="006819A4" w:rsidRPr="00F40195" w:rsidRDefault="006819A4" w:rsidP="00F40195">
      <w:pPr>
        <w:spacing w:line="240" w:lineRule="auto"/>
        <w:rPr>
          <w:rFonts w:cs="Times New Roman"/>
        </w:rPr>
      </w:pPr>
    </w:p>
    <w:p w:rsidR="006819A4" w:rsidRPr="00F40195" w:rsidRDefault="006819A4" w:rsidP="00F40195">
      <w:pPr>
        <w:spacing w:line="240" w:lineRule="auto"/>
        <w:rPr>
          <w:rFonts w:cs="Times New Roman"/>
          <w:i/>
        </w:rPr>
      </w:pPr>
      <w:r w:rsidRPr="00F40195">
        <w:rPr>
          <w:rFonts w:cs="Times New Roman"/>
        </w:rPr>
        <w:t xml:space="preserve">Although this study focuses on generating, distributing and allocating fiscal resources, Picus Odden &amp; Associates argues that an additional focus should be placed on what it takes to </w:t>
      </w:r>
      <w:r w:rsidR="00BA5749">
        <w:rPr>
          <w:rFonts w:cs="Times New Roman"/>
        </w:rPr>
        <w:t>improve</w:t>
      </w:r>
      <w:r w:rsidRPr="00F40195">
        <w:rPr>
          <w:rFonts w:cs="Times New Roman"/>
        </w:rPr>
        <w:t xml:space="preserve"> student</w:t>
      </w:r>
      <w:r w:rsidR="005C5442">
        <w:rPr>
          <w:rFonts w:cs="Times New Roman"/>
        </w:rPr>
        <w:t xml:space="preserve"> performance</w:t>
      </w:r>
      <w:r w:rsidRPr="00F40195">
        <w:rPr>
          <w:rFonts w:cs="Times New Roman"/>
        </w:rPr>
        <w:t xml:space="preserve">. This includes the costs of educational programs and strategies that research evidence suggests will be successful. In addition, it entails the design of systems that, if implemented effectively and efficiently, can lead to student proficiency. </w:t>
      </w:r>
      <w:r w:rsidRPr="00F40195">
        <w:rPr>
          <w:rFonts w:cs="Times New Roman"/>
          <w:i/>
        </w:rPr>
        <w:t>This combination—the cost of educational programs and policies and their relationship to student academic achievement—is the necessary ingredient to persuasive discussions of the resources necessary in an educational system.</w:t>
      </w:r>
    </w:p>
    <w:p w:rsidR="006819A4" w:rsidRPr="00F40195" w:rsidRDefault="006819A4" w:rsidP="00F40195">
      <w:pPr>
        <w:spacing w:line="240" w:lineRule="auto"/>
        <w:rPr>
          <w:rFonts w:cs="Times New Roman"/>
        </w:rPr>
      </w:pPr>
    </w:p>
    <w:p w:rsidR="005178FB" w:rsidRPr="00F40195" w:rsidRDefault="006819A4" w:rsidP="00F40195">
      <w:pPr>
        <w:spacing w:line="240" w:lineRule="auto"/>
        <w:rPr>
          <w:rFonts w:cs="Times New Roman"/>
        </w:rPr>
      </w:pPr>
      <w:r w:rsidRPr="00F40195">
        <w:rPr>
          <w:rFonts w:cs="Times New Roman"/>
        </w:rPr>
        <w:t xml:space="preserve">We work with individuals who have pioneered this </w:t>
      </w:r>
      <w:r w:rsidR="00A008DD" w:rsidRPr="00F40195">
        <w:rPr>
          <w:rFonts w:cs="Times New Roman"/>
        </w:rPr>
        <w:t>E</w:t>
      </w:r>
      <w:r w:rsidR="00604741" w:rsidRPr="00F40195">
        <w:rPr>
          <w:rFonts w:cs="Times New Roman"/>
        </w:rPr>
        <w:t>videnced</w:t>
      </w:r>
      <w:r w:rsidR="00A008DD" w:rsidRPr="00F40195">
        <w:rPr>
          <w:rFonts w:cs="Times New Roman"/>
        </w:rPr>
        <w:t>-B</w:t>
      </w:r>
      <w:r w:rsidRPr="00F40195">
        <w:rPr>
          <w:rFonts w:cs="Times New Roman"/>
        </w:rPr>
        <w:t xml:space="preserve">ased approach to linking school resources to student outcomes and are uniquely positioned to ensure this study will not just be about resources, but about how resources can be turned into effective instruction that boosts student learning. In all aspects of the study components, </w:t>
      </w:r>
      <w:r w:rsidR="00010578" w:rsidRPr="00F40195">
        <w:rPr>
          <w:rFonts w:cs="Times New Roman"/>
        </w:rPr>
        <w:t>we have worked with various individua</w:t>
      </w:r>
      <w:r w:rsidR="005E7545" w:rsidRPr="00F40195">
        <w:rPr>
          <w:rFonts w:cs="Times New Roman"/>
        </w:rPr>
        <w:t>l</w:t>
      </w:r>
      <w:r w:rsidR="00010578" w:rsidRPr="00F40195">
        <w:rPr>
          <w:rFonts w:cs="Times New Roman"/>
        </w:rPr>
        <w:t>s knowledgeable the current school finance system and their reasons for suggesting reform.</w:t>
      </w:r>
    </w:p>
    <w:p w:rsidR="005178FB" w:rsidRPr="00F40195" w:rsidRDefault="005178FB" w:rsidP="00F40195">
      <w:pPr>
        <w:spacing w:line="240" w:lineRule="auto"/>
        <w:rPr>
          <w:rFonts w:cs="Times New Roman"/>
        </w:rPr>
      </w:pPr>
    </w:p>
    <w:p w:rsidR="006819A4" w:rsidRPr="00F40195" w:rsidRDefault="005178FB" w:rsidP="00F40195">
      <w:pPr>
        <w:spacing w:line="240" w:lineRule="auto"/>
        <w:rPr>
          <w:rFonts w:cs="Times New Roman"/>
        </w:rPr>
      </w:pPr>
      <w:r w:rsidRPr="00F40195">
        <w:rPr>
          <w:rFonts w:cs="Times New Roman"/>
        </w:rPr>
        <w:t xml:space="preserve">During the course our study, from December 2013 </w:t>
      </w:r>
      <w:r w:rsidR="00A008DD" w:rsidRPr="00F40195">
        <w:rPr>
          <w:rFonts w:cs="Times New Roman"/>
        </w:rPr>
        <w:t>through</w:t>
      </w:r>
      <w:r w:rsidRPr="00F40195">
        <w:rPr>
          <w:rFonts w:cs="Times New Roman"/>
        </w:rPr>
        <w:t xml:space="preserve"> June 2014, Picus Odden &amp; Associates </w:t>
      </w:r>
      <w:r w:rsidR="00C7112F">
        <w:rPr>
          <w:rFonts w:cs="Times New Roman"/>
        </w:rPr>
        <w:t xml:space="preserve">lead in Kentucky, Dr. Michael Goetz, </w:t>
      </w:r>
      <w:r w:rsidR="00CE4BC8">
        <w:rPr>
          <w:rFonts w:cs="Times New Roman"/>
        </w:rPr>
        <w:t xml:space="preserve">held </w:t>
      </w:r>
      <w:r w:rsidRPr="00F40195">
        <w:rPr>
          <w:rFonts w:cs="Times New Roman"/>
        </w:rPr>
        <w:t>monthly Advisory Committee meetings, working th</w:t>
      </w:r>
      <w:r w:rsidR="00A008DD" w:rsidRPr="00F40195">
        <w:rPr>
          <w:rFonts w:cs="Times New Roman"/>
        </w:rPr>
        <w:t>r</w:t>
      </w:r>
      <w:r w:rsidRPr="00F40195">
        <w:rPr>
          <w:rFonts w:cs="Times New Roman"/>
        </w:rPr>
        <w:t>ough many of the toughest issues in school finance today. These meetings were filled with education leaders from across the state and across positions in the educational and political community.</w:t>
      </w:r>
      <w:r w:rsidR="00A008DD" w:rsidRPr="00F40195">
        <w:rPr>
          <w:rFonts w:cs="Times New Roman"/>
        </w:rPr>
        <w:t xml:space="preserve"> </w:t>
      </w:r>
      <w:r w:rsidR="006819A4" w:rsidRPr="00F40195">
        <w:rPr>
          <w:rFonts w:cs="Times New Roman"/>
        </w:rPr>
        <w:t xml:space="preserve">Picus Odden &amp; Associates </w:t>
      </w:r>
      <w:r w:rsidR="00604741" w:rsidRPr="00F40195">
        <w:rPr>
          <w:rFonts w:cs="Times New Roman"/>
        </w:rPr>
        <w:t>has</w:t>
      </w:r>
      <w:r w:rsidR="006819A4" w:rsidRPr="00F40195">
        <w:rPr>
          <w:rFonts w:cs="Times New Roman"/>
        </w:rPr>
        <w:t xml:space="preserve"> </w:t>
      </w:r>
      <w:r w:rsidR="00FE71D0">
        <w:rPr>
          <w:rFonts w:cs="Times New Roman"/>
        </w:rPr>
        <w:t xml:space="preserve">also </w:t>
      </w:r>
      <w:r w:rsidR="006819A4" w:rsidRPr="00F40195">
        <w:rPr>
          <w:rFonts w:cs="Times New Roman"/>
        </w:rPr>
        <w:t>work</w:t>
      </w:r>
      <w:r w:rsidR="00604741" w:rsidRPr="00F40195">
        <w:rPr>
          <w:rFonts w:cs="Times New Roman"/>
        </w:rPr>
        <w:t>ed</w:t>
      </w:r>
      <w:r w:rsidR="006819A4" w:rsidRPr="00F40195">
        <w:rPr>
          <w:rFonts w:cs="Times New Roman"/>
        </w:rPr>
        <w:t xml:space="preserve"> with the stakeholders who ultimately are the policymakers of school finance reform, to realize the implementation of any reforms necessary to meet adequacy mandates. </w:t>
      </w:r>
      <w:r w:rsidR="00604741" w:rsidRPr="00F40195">
        <w:rPr>
          <w:rFonts w:cs="Times New Roman"/>
        </w:rPr>
        <w:t>These all-day meetings were held at the U</w:t>
      </w:r>
      <w:r w:rsidR="00AB6ACF" w:rsidRPr="00F40195">
        <w:rPr>
          <w:rFonts w:cs="Times New Roman"/>
        </w:rPr>
        <w:t xml:space="preserve">niversity </w:t>
      </w:r>
      <w:proofErr w:type="gramStart"/>
      <w:r w:rsidR="00AB6ACF" w:rsidRPr="00F40195">
        <w:rPr>
          <w:rFonts w:cs="Times New Roman"/>
        </w:rPr>
        <w:t>of</w:t>
      </w:r>
      <w:proofErr w:type="gramEnd"/>
      <w:r w:rsidR="00AB6ACF" w:rsidRPr="00F40195">
        <w:rPr>
          <w:rFonts w:cs="Times New Roman"/>
        </w:rPr>
        <w:t xml:space="preserve"> </w:t>
      </w:r>
      <w:r w:rsidR="00604741" w:rsidRPr="00F40195">
        <w:rPr>
          <w:rFonts w:cs="Times New Roman"/>
        </w:rPr>
        <w:t>K</w:t>
      </w:r>
      <w:r w:rsidR="00AB6ACF" w:rsidRPr="00F40195">
        <w:rPr>
          <w:rFonts w:cs="Times New Roman"/>
        </w:rPr>
        <w:t>entucky</w:t>
      </w:r>
      <w:r w:rsidR="00604741" w:rsidRPr="00F40195">
        <w:rPr>
          <w:rFonts w:cs="Times New Roman"/>
        </w:rPr>
        <w:t xml:space="preserve"> National Center for Innovation in Education on February 24, March 17, April 21, and May 12</w:t>
      </w:r>
      <w:r w:rsidRPr="00F40195">
        <w:rPr>
          <w:rFonts w:cs="Times New Roman"/>
        </w:rPr>
        <w:t>, 2014</w:t>
      </w:r>
      <w:r w:rsidR="00604741" w:rsidRPr="00F40195">
        <w:rPr>
          <w:rFonts w:cs="Times New Roman"/>
        </w:rPr>
        <w:t>.</w:t>
      </w:r>
    </w:p>
    <w:p w:rsidR="00604741" w:rsidRPr="00F40195" w:rsidRDefault="00604741" w:rsidP="00F40195">
      <w:pPr>
        <w:spacing w:line="240" w:lineRule="auto"/>
        <w:rPr>
          <w:rFonts w:cs="Times New Roman"/>
        </w:rPr>
      </w:pPr>
    </w:p>
    <w:p w:rsidR="00604741" w:rsidRPr="00F40195" w:rsidRDefault="00604741" w:rsidP="00F40195">
      <w:pPr>
        <w:spacing w:line="240" w:lineRule="auto"/>
        <w:rPr>
          <w:rFonts w:cs="Times New Roman"/>
        </w:rPr>
      </w:pPr>
      <w:r w:rsidRPr="00F40195">
        <w:rPr>
          <w:rFonts w:cs="Times New Roman"/>
        </w:rPr>
        <w:t xml:space="preserve">In addition to these </w:t>
      </w:r>
      <w:r w:rsidR="000E2CD9" w:rsidRPr="00F40195">
        <w:rPr>
          <w:rFonts w:cs="Times New Roman"/>
        </w:rPr>
        <w:t>individuals</w:t>
      </w:r>
      <w:r w:rsidRPr="00F40195">
        <w:rPr>
          <w:rFonts w:cs="Times New Roman"/>
        </w:rPr>
        <w:t xml:space="preserve">, </w:t>
      </w:r>
      <w:r w:rsidR="00FE71D0">
        <w:rPr>
          <w:rFonts w:cs="Times New Roman"/>
        </w:rPr>
        <w:t xml:space="preserve">this study </w:t>
      </w:r>
      <w:r w:rsidR="00C7112F">
        <w:rPr>
          <w:rFonts w:cs="Times New Roman"/>
        </w:rPr>
        <w:t>includes input from</w:t>
      </w:r>
      <w:r w:rsidRPr="00F40195">
        <w:rPr>
          <w:rFonts w:cs="Times New Roman"/>
        </w:rPr>
        <w:t xml:space="preserve"> </w:t>
      </w:r>
      <w:r w:rsidR="00FE71D0">
        <w:rPr>
          <w:rFonts w:cs="Times New Roman"/>
        </w:rPr>
        <w:t>teachers</w:t>
      </w:r>
      <w:r w:rsidRPr="00F40195">
        <w:rPr>
          <w:rFonts w:cs="Times New Roman"/>
        </w:rPr>
        <w:t xml:space="preserve"> </w:t>
      </w:r>
      <w:r w:rsidR="00FE71D0">
        <w:rPr>
          <w:rFonts w:cs="Times New Roman"/>
        </w:rPr>
        <w:t xml:space="preserve">and other </w:t>
      </w:r>
      <w:r w:rsidR="00C7112F">
        <w:rPr>
          <w:rFonts w:cs="Times New Roman"/>
        </w:rPr>
        <w:t xml:space="preserve">educational </w:t>
      </w:r>
      <w:r w:rsidR="00FE71D0">
        <w:rPr>
          <w:rFonts w:cs="Times New Roman"/>
        </w:rPr>
        <w:t xml:space="preserve">professionals </w:t>
      </w:r>
      <w:r w:rsidRPr="00F40195">
        <w:rPr>
          <w:rFonts w:cs="Times New Roman"/>
        </w:rPr>
        <w:t xml:space="preserve">across the state. On April </w:t>
      </w:r>
      <w:r w:rsidR="0079337D" w:rsidRPr="00F40195">
        <w:rPr>
          <w:rFonts w:cs="Times New Roman"/>
        </w:rPr>
        <w:t xml:space="preserve">16, 17, and 18, </w:t>
      </w:r>
      <w:r w:rsidR="005178FB" w:rsidRPr="00F40195">
        <w:rPr>
          <w:rFonts w:cs="Times New Roman"/>
        </w:rPr>
        <w:t>2014</w:t>
      </w:r>
      <w:r w:rsidR="00FE71D0">
        <w:rPr>
          <w:rFonts w:cs="Times New Roman"/>
        </w:rPr>
        <w:t>,</w:t>
      </w:r>
      <w:r w:rsidR="005178FB" w:rsidRPr="00F40195">
        <w:rPr>
          <w:rFonts w:cs="Times New Roman"/>
        </w:rPr>
        <w:t xml:space="preserve"> </w:t>
      </w:r>
      <w:r w:rsidR="00FE71D0">
        <w:rPr>
          <w:rFonts w:cs="Times New Roman"/>
        </w:rPr>
        <w:t>Picus Odden &amp; Associates</w:t>
      </w:r>
      <w:r w:rsidR="0079337D" w:rsidRPr="00F40195">
        <w:rPr>
          <w:rFonts w:cs="Times New Roman"/>
        </w:rPr>
        <w:t xml:space="preserve"> visited with teacher and business leaders in Hazard, Madison</w:t>
      </w:r>
      <w:r w:rsidR="00D716A8">
        <w:rPr>
          <w:rFonts w:cs="Times New Roman"/>
        </w:rPr>
        <w:t>ville</w:t>
      </w:r>
      <w:r w:rsidR="0079337D" w:rsidRPr="00F40195">
        <w:rPr>
          <w:rFonts w:cs="Times New Roman"/>
        </w:rPr>
        <w:t>, and Lou</w:t>
      </w:r>
      <w:r w:rsidR="005178FB" w:rsidRPr="00F40195">
        <w:rPr>
          <w:rFonts w:cs="Times New Roman"/>
        </w:rPr>
        <w:t>i</w:t>
      </w:r>
      <w:r w:rsidR="0079337D" w:rsidRPr="00F40195">
        <w:rPr>
          <w:rFonts w:cs="Times New Roman"/>
        </w:rPr>
        <w:t>sville</w:t>
      </w:r>
      <w:r w:rsidR="00A008DD" w:rsidRPr="00F40195">
        <w:rPr>
          <w:rFonts w:cs="Times New Roman"/>
        </w:rPr>
        <w:t>, respectively</w:t>
      </w:r>
      <w:r w:rsidR="0079337D" w:rsidRPr="00F40195">
        <w:rPr>
          <w:rFonts w:cs="Times New Roman"/>
        </w:rPr>
        <w:t xml:space="preserve">. Other regions in the state </w:t>
      </w:r>
      <w:r w:rsidR="00450A3A" w:rsidRPr="00F40195">
        <w:rPr>
          <w:rFonts w:cs="Times New Roman"/>
        </w:rPr>
        <w:t>were represented on</w:t>
      </w:r>
      <w:r w:rsidR="0079337D" w:rsidRPr="00F40195">
        <w:rPr>
          <w:rFonts w:cs="Times New Roman"/>
        </w:rPr>
        <w:t xml:space="preserve"> the Advisory Committee. These all-day me</w:t>
      </w:r>
      <w:bookmarkStart w:id="9" w:name="_GoBack"/>
      <w:bookmarkEnd w:id="9"/>
      <w:r w:rsidR="0079337D" w:rsidRPr="00F40195">
        <w:rPr>
          <w:rFonts w:cs="Times New Roman"/>
        </w:rPr>
        <w:t>etings helped Picus Odden &amp; Associates and the Advisory Committee</w:t>
      </w:r>
      <w:r w:rsidRPr="00F40195">
        <w:rPr>
          <w:rFonts w:cs="Times New Roman"/>
        </w:rPr>
        <w:t xml:space="preserve"> </w:t>
      </w:r>
      <w:r w:rsidR="0079337D" w:rsidRPr="00F40195">
        <w:rPr>
          <w:rFonts w:cs="Times New Roman"/>
        </w:rPr>
        <w:t xml:space="preserve">solidify the </w:t>
      </w:r>
      <w:r w:rsidR="005178FB" w:rsidRPr="00F40195">
        <w:rPr>
          <w:rFonts w:cs="Times New Roman"/>
        </w:rPr>
        <w:t xml:space="preserve">study </w:t>
      </w:r>
      <w:r w:rsidR="0079337D" w:rsidRPr="00F40195">
        <w:rPr>
          <w:rFonts w:cs="Times New Roman"/>
        </w:rPr>
        <w:t>recommendations</w:t>
      </w:r>
      <w:r w:rsidR="005178FB" w:rsidRPr="00F40195">
        <w:rPr>
          <w:rFonts w:cs="Times New Roman"/>
        </w:rPr>
        <w:t>, particularly in terms of prototypical school resources.</w:t>
      </w:r>
    </w:p>
    <w:p w:rsidR="00604741" w:rsidRPr="00F40195" w:rsidRDefault="00604741" w:rsidP="00F40195">
      <w:pPr>
        <w:spacing w:line="240" w:lineRule="auto"/>
        <w:rPr>
          <w:rFonts w:cs="Times New Roman"/>
        </w:rPr>
      </w:pPr>
    </w:p>
    <w:p w:rsidR="00604741" w:rsidRPr="00F40195" w:rsidRDefault="00604741" w:rsidP="00F40195">
      <w:pPr>
        <w:spacing w:line="240" w:lineRule="auto"/>
        <w:rPr>
          <w:rFonts w:cs="Times New Roman"/>
        </w:rPr>
      </w:pPr>
      <w:r w:rsidRPr="00F40195">
        <w:rPr>
          <w:rFonts w:cs="Times New Roman"/>
        </w:rPr>
        <w:t xml:space="preserve">Finally, </w:t>
      </w:r>
      <w:r w:rsidR="005178FB" w:rsidRPr="00F40195">
        <w:rPr>
          <w:rFonts w:cs="Times New Roman"/>
        </w:rPr>
        <w:t xml:space="preserve">we </w:t>
      </w:r>
      <w:r w:rsidRPr="00F40195">
        <w:rPr>
          <w:rFonts w:cs="Times New Roman"/>
        </w:rPr>
        <w:t xml:space="preserve">must mention that this study has been </w:t>
      </w:r>
      <w:r w:rsidR="005178FB" w:rsidRPr="00F40195">
        <w:rPr>
          <w:rFonts w:cs="Times New Roman"/>
        </w:rPr>
        <w:t>professionally</w:t>
      </w:r>
      <w:r w:rsidRPr="00F40195">
        <w:rPr>
          <w:rFonts w:cs="Times New Roman"/>
        </w:rPr>
        <w:t xml:space="preserve"> assisted by the KY Department of Education, whose knowledge and vast data collection allow for more clear understanding of the current Kentucky school finance system.</w:t>
      </w:r>
    </w:p>
    <w:p w:rsidR="008113D2" w:rsidRPr="00F40195" w:rsidRDefault="008113D2" w:rsidP="00F40195">
      <w:pPr>
        <w:spacing w:line="240" w:lineRule="auto"/>
        <w:rPr>
          <w:rFonts w:cs="Times New Roman"/>
        </w:rPr>
      </w:pPr>
    </w:p>
    <w:p w:rsidR="001D30F1" w:rsidRPr="00F40195" w:rsidRDefault="008113D2" w:rsidP="00F40195">
      <w:pPr>
        <w:spacing w:line="240" w:lineRule="auto"/>
        <w:rPr>
          <w:rFonts w:cs="Times New Roman"/>
        </w:rPr>
      </w:pPr>
      <w:r w:rsidRPr="00F40195">
        <w:rPr>
          <w:rFonts w:cs="Times New Roman"/>
        </w:rPr>
        <w:t xml:space="preserve">Report findings are </w:t>
      </w:r>
      <w:r w:rsidR="00C7112F">
        <w:rPr>
          <w:rFonts w:cs="Times New Roman"/>
        </w:rPr>
        <w:t>presented in</w:t>
      </w:r>
      <w:r w:rsidRPr="00F40195">
        <w:rPr>
          <w:rFonts w:cs="Times New Roman"/>
        </w:rPr>
        <w:t xml:space="preserve"> </w:t>
      </w:r>
      <w:r w:rsidR="008963DD">
        <w:rPr>
          <w:rFonts w:cs="Times New Roman"/>
        </w:rPr>
        <w:t>three</w:t>
      </w:r>
      <w:r w:rsidR="008963DD" w:rsidRPr="00F40195">
        <w:rPr>
          <w:rFonts w:cs="Times New Roman"/>
        </w:rPr>
        <w:t xml:space="preserve"> </w:t>
      </w:r>
      <w:r w:rsidRPr="00F40195">
        <w:rPr>
          <w:rFonts w:cs="Times New Roman"/>
        </w:rPr>
        <w:t>chapters</w:t>
      </w:r>
      <w:r w:rsidR="008963DD">
        <w:rPr>
          <w:rFonts w:cs="Times New Roman"/>
        </w:rPr>
        <w:t>, all of which</w:t>
      </w:r>
      <w:r w:rsidR="00D96EB1" w:rsidRPr="00F40195">
        <w:rPr>
          <w:rFonts w:cs="Times New Roman"/>
        </w:rPr>
        <w:t xml:space="preserve"> </w:t>
      </w:r>
      <w:r w:rsidR="00663F5F">
        <w:rPr>
          <w:rFonts w:cs="Times New Roman"/>
        </w:rPr>
        <w:t>provide</w:t>
      </w:r>
      <w:r w:rsidR="00D96EB1" w:rsidRPr="00F40195">
        <w:rPr>
          <w:rFonts w:cs="Times New Roman"/>
        </w:rPr>
        <w:t xml:space="preserve"> context </w:t>
      </w:r>
      <w:r w:rsidR="00663F5F">
        <w:rPr>
          <w:rFonts w:cs="Times New Roman"/>
        </w:rPr>
        <w:t>for</w:t>
      </w:r>
      <w:r w:rsidR="00D96EB1" w:rsidRPr="00F40195">
        <w:rPr>
          <w:rFonts w:cs="Times New Roman"/>
        </w:rPr>
        <w:t xml:space="preserve"> the current KY </w:t>
      </w:r>
      <w:r w:rsidR="002F74C5">
        <w:rPr>
          <w:rFonts w:cs="Times New Roman"/>
        </w:rPr>
        <w:t>education system</w:t>
      </w:r>
      <w:r w:rsidR="00D96EB1" w:rsidRPr="00F40195">
        <w:rPr>
          <w:rFonts w:cs="Times New Roman"/>
        </w:rPr>
        <w:t xml:space="preserve">. </w:t>
      </w:r>
      <w:r w:rsidRPr="00F40195">
        <w:rPr>
          <w:rFonts w:cs="Times New Roman"/>
        </w:rPr>
        <w:t xml:space="preserve">Chapter 1 is an introduction to general process of the study. Chapter 2 speaks </w:t>
      </w:r>
      <w:r w:rsidRPr="00F40195">
        <w:rPr>
          <w:rFonts w:cs="Times New Roman"/>
        </w:rPr>
        <w:lastRenderedPageBreak/>
        <w:t>to the several KY fiscal and academic measures compared to other similar states</w:t>
      </w:r>
      <w:r w:rsidR="001D30F1" w:rsidRPr="00F40195">
        <w:rPr>
          <w:rFonts w:cs="Times New Roman"/>
        </w:rPr>
        <w:t xml:space="preserve"> </w:t>
      </w:r>
      <w:r w:rsidR="00BA322E" w:rsidRPr="00F40195">
        <w:rPr>
          <w:rFonts w:cs="Times New Roman"/>
        </w:rPr>
        <w:t>over the ten years leading to the</w:t>
      </w:r>
      <w:r w:rsidR="001D30F1" w:rsidRPr="00F40195">
        <w:rPr>
          <w:rFonts w:cs="Times New Roman"/>
        </w:rPr>
        <w:t xml:space="preserve"> 2012-13 school year</w:t>
      </w:r>
      <w:r w:rsidR="00BA322E" w:rsidRPr="00F40195">
        <w:rPr>
          <w:rFonts w:cs="Times New Roman"/>
        </w:rPr>
        <w:t>, the primary data used in this study</w:t>
      </w:r>
      <w:r w:rsidRPr="00F40195">
        <w:rPr>
          <w:rFonts w:cs="Times New Roman"/>
        </w:rPr>
        <w:t xml:space="preserve">. </w:t>
      </w:r>
    </w:p>
    <w:p w:rsidR="001D30F1" w:rsidRPr="00F40195" w:rsidRDefault="001D30F1" w:rsidP="00F40195">
      <w:pPr>
        <w:spacing w:line="240" w:lineRule="auto"/>
        <w:rPr>
          <w:rFonts w:cs="Times New Roman"/>
        </w:rPr>
      </w:pPr>
    </w:p>
    <w:p w:rsidR="00D9750A" w:rsidRDefault="00F40195" w:rsidP="00844962">
      <w:pPr>
        <w:spacing w:line="240" w:lineRule="auto"/>
        <w:rPr>
          <w:rFonts w:cs="Times New Roman"/>
        </w:rPr>
      </w:pPr>
      <w:r w:rsidRPr="00F40195">
        <w:rPr>
          <w:rFonts w:cs="Times New Roman"/>
        </w:rPr>
        <w:t xml:space="preserve">Chapter </w:t>
      </w:r>
      <w:r w:rsidR="00D62460">
        <w:rPr>
          <w:rFonts w:cs="Times New Roman"/>
        </w:rPr>
        <w:t>3</w:t>
      </w:r>
      <w:r w:rsidR="00C86D8E" w:rsidRPr="00F40195">
        <w:rPr>
          <w:rFonts w:cs="Times New Roman"/>
        </w:rPr>
        <w:t xml:space="preserve"> deal</w:t>
      </w:r>
      <w:r w:rsidR="00BA322E" w:rsidRPr="00F40195">
        <w:rPr>
          <w:rFonts w:cs="Times New Roman"/>
        </w:rPr>
        <w:t>s</w:t>
      </w:r>
      <w:r w:rsidR="00C86D8E" w:rsidRPr="00F40195">
        <w:rPr>
          <w:rFonts w:cs="Times New Roman"/>
        </w:rPr>
        <w:t xml:space="preserve"> specifically </w:t>
      </w:r>
      <w:r w:rsidR="00450A3A" w:rsidRPr="00F40195">
        <w:rPr>
          <w:rFonts w:cs="Times New Roman"/>
        </w:rPr>
        <w:t xml:space="preserve">with </w:t>
      </w:r>
      <w:r w:rsidR="00747BDE">
        <w:rPr>
          <w:rFonts w:cs="Times New Roman"/>
        </w:rPr>
        <w:t xml:space="preserve">how the KY </w:t>
      </w:r>
      <w:proofErr w:type="gramStart"/>
      <w:r w:rsidR="00747BDE">
        <w:rPr>
          <w:rFonts w:cs="Times New Roman"/>
        </w:rPr>
        <w:t xml:space="preserve">school </w:t>
      </w:r>
      <w:r w:rsidR="00C86D8E" w:rsidRPr="00F40195">
        <w:rPr>
          <w:rFonts w:cs="Times New Roman"/>
        </w:rPr>
        <w:t>finance</w:t>
      </w:r>
      <w:proofErr w:type="gramEnd"/>
      <w:r w:rsidR="00C86D8E" w:rsidRPr="00F40195">
        <w:rPr>
          <w:rFonts w:cs="Times New Roman"/>
        </w:rPr>
        <w:t xml:space="preserve"> system may change to support adequacy. </w:t>
      </w:r>
      <w:r w:rsidRPr="00F40195">
        <w:rPr>
          <w:rFonts w:cs="Times New Roman"/>
        </w:rPr>
        <w:t>It</w:t>
      </w:r>
      <w:r w:rsidR="008113D2" w:rsidRPr="00F40195">
        <w:rPr>
          <w:rFonts w:cs="Times New Roman"/>
        </w:rPr>
        <w:t xml:space="preserve"> introduces the Evidence-Based Mode</w:t>
      </w:r>
      <w:r w:rsidR="001D30F1" w:rsidRPr="00F40195">
        <w:rPr>
          <w:rFonts w:cs="Times New Roman"/>
        </w:rPr>
        <w:t>l for funding adequacy and relay</w:t>
      </w:r>
      <w:r w:rsidR="008113D2" w:rsidRPr="00F40195">
        <w:rPr>
          <w:rFonts w:cs="Times New Roman"/>
        </w:rPr>
        <w:t>s findings of a movement to this methodology</w:t>
      </w:r>
      <w:r w:rsidR="001D30F1" w:rsidRPr="00F40195">
        <w:rPr>
          <w:rFonts w:cs="Times New Roman"/>
        </w:rPr>
        <w:t xml:space="preserve"> compared to Support Education Excellence in Kentucky (SEEK) </w:t>
      </w:r>
      <w:r w:rsidR="00D62460">
        <w:rPr>
          <w:rFonts w:cs="Times New Roman"/>
        </w:rPr>
        <w:t>program</w:t>
      </w:r>
      <w:r w:rsidR="00D62460" w:rsidRPr="00F40195">
        <w:rPr>
          <w:rFonts w:cs="Times New Roman"/>
        </w:rPr>
        <w:t xml:space="preserve"> </w:t>
      </w:r>
      <w:r w:rsidR="001D30F1" w:rsidRPr="00F40195">
        <w:rPr>
          <w:rFonts w:cs="Times New Roman"/>
        </w:rPr>
        <w:t>in 2012-13</w:t>
      </w:r>
      <w:r w:rsidR="009031D2" w:rsidRPr="00F40195">
        <w:rPr>
          <w:rFonts w:cs="Times New Roman"/>
        </w:rPr>
        <w:t>.</w:t>
      </w:r>
      <w:r w:rsidR="00BD0C73">
        <w:rPr>
          <w:rFonts w:cs="Times New Roman"/>
        </w:rPr>
        <w:t xml:space="preserve"> </w:t>
      </w:r>
    </w:p>
    <w:p w:rsidR="00D62460" w:rsidRDefault="00D62460" w:rsidP="00844962">
      <w:pPr>
        <w:spacing w:line="240" w:lineRule="auto"/>
        <w:rPr>
          <w:rFonts w:cs="Times New Roman"/>
        </w:rPr>
      </w:pPr>
    </w:p>
    <w:p w:rsidR="00D62460" w:rsidRDefault="00D62460" w:rsidP="00844962">
      <w:pPr>
        <w:spacing w:line="240" w:lineRule="auto"/>
        <w:rPr>
          <w:rFonts w:cs="Times New Roman"/>
        </w:rPr>
      </w:pPr>
      <w:r>
        <w:rPr>
          <w:rFonts w:cs="Times New Roman"/>
        </w:rPr>
        <w:t xml:space="preserve">Appendix A </w:t>
      </w:r>
      <w:r w:rsidR="008963DD">
        <w:rPr>
          <w:rFonts w:cs="Times New Roman"/>
        </w:rPr>
        <w:t>includes a variety of data comparing</w:t>
      </w:r>
      <w:r>
        <w:rPr>
          <w:rFonts w:cs="Times New Roman"/>
        </w:rPr>
        <w:t xml:space="preserve"> Kentucky to high-performing states.</w:t>
      </w:r>
    </w:p>
    <w:p w:rsidR="0047332E" w:rsidRDefault="0047332E" w:rsidP="00844962">
      <w:pPr>
        <w:spacing w:line="240" w:lineRule="auto"/>
        <w:rPr>
          <w:rFonts w:cs="Times New Roman"/>
        </w:rPr>
      </w:pPr>
    </w:p>
    <w:p w:rsidR="002F74C5" w:rsidRDefault="002F74C5">
      <w:pPr>
        <w:rPr>
          <w:rFonts w:eastAsia="Times New Roman" w:cstheme="majorBidi"/>
          <w:b/>
          <w:bCs/>
          <w:caps/>
          <w:szCs w:val="28"/>
        </w:rPr>
      </w:pPr>
      <w:bookmarkStart w:id="10" w:name="_Toc385250698"/>
      <w:bookmarkStart w:id="11" w:name="_Toc226045604"/>
      <w:r>
        <w:br w:type="page"/>
      </w:r>
    </w:p>
    <w:p w:rsidR="00161A13" w:rsidRPr="00F40195" w:rsidRDefault="00F02794" w:rsidP="00544A76">
      <w:pPr>
        <w:pStyle w:val="Heading1"/>
      </w:pPr>
      <w:bookmarkStart w:id="12" w:name="_Toc395180640"/>
      <w:r w:rsidRPr="00F40195">
        <w:lastRenderedPageBreak/>
        <w:t>Chapter 2:</w:t>
      </w:r>
      <w:r w:rsidR="00544A76">
        <w:t xml:space="preserve">  </w:t>
      </w:r>
      <w:r w:rsidRPr="00F40195">
        <w:t xml:space="preserve">Comparative State Analysis of Kentucky’s </w:t>
      </w:r>
      <w:r w:rsidR="002F335C" w:rsidRPr="00F40195">
        <w:t xml:space="preserve">School </w:t>
      </w:r>
      <w:r w:rsidRPr="00F40195">
        <w:t>Finance Program</w:t>
      </w:r>
      <w:bookmarkEnd w:id="10"/>
      <w:bookmarkEnd w:id="12"/>
    </w:p>
    <w:p w:rsidR="00F02794" w:rsidRPr="00F40195" w:rsidRDefault="00C7112F" w:rsidP="00F40195">
      <w:pPr>
        <w:widowControl w:val="0"/>
        <w:autoSpaceDE w:val="0"/>
        <w:autoSpaceDN w:val="0"/>
        <w:adjustRightInd w:val="0"/>
        <w:spacing w:line="240" w:lineRule="auto"/>
        <w:rPr>
          <w:rFonts w:cs="Times New Roman"/>
        </w:rPr>
      </w:pPr>
      <w:r>
        <w:rPr>
          <w:rFonts w:cs="Times New Roman"/>
        </w:rPr>
        <w:t>T</w:t>
      </w:r>
      <w:r w:rsidR="00F02794" w:rsidRPr="00F40195">
        <w:rPr>
          <w:rFonts w:cs="Times New Roman"/>
        </w:rPr>
        <w:t>his chapter</w:t>
      </w:r>
      <w:r>
        <w:rPr>
          <w:rFonts w:cs="Times New Roman"/>
        </w:rPr>
        <w:t xml:space="preserve"> </w:t>
      </w:r>
      <w:r w:rsidR="0082464B">
        <w:rPr>
          <w:rFonts w:cs="Times New Roman"/>
        </w:rPr>
        <w:t>provide</w:t>
      </w:r>
      <w:r>
        <w:rPr>
          <w:rFonts w:cs="Times New Roman"/>
        </w:rPr>
        <w:t>s</w:t>
      </w:r>
      <w:r w:rsidR="0082464B" w:rsidRPr="00F40195">
        <w:rPr>
          <w:rFonts w:cs="Times New Roman"/>
        </w:rPr>
        <w:t xml:space="preserve"> </w:t>
      </w:r>
      <w:r w:rsidR="00F02794" w:rsidRPr="00F40195">
        <w:rPr>
          <w:rFonts w:cs="Times New Roman"/>
        </w:rPr>
        <w:t xml:space="preserve">a comparative assessment of state school finance systems. The interstate comparison reviewed data from all 50 states, with an emphasis on data from the </w:t>
      </w:r>
      <w:r w:rsidR="00055D88" w:rsidRPr="00F40195">
        <w:rPr>
          <w:rFonts w:cs="Times New Roman"/>
        </w:rPr>
        <w:t xml:space="preserve">similar </w:t>
      </w:r>
      <w:r w:rsidR="00F02794" w:rsidRPr="00F40195">
        <w:rPr>
          <w:rFonts w:cs="Times New Roman"/>
        </w:rPr>
        <w:t>states. The study focuses on comparing school funding data from Kentucky with that of other states, with a focus on three areas:</w:t>
      </w:r>
    </w:p>
    <w:p w:rsidR="00F02794" w:rsidRPr="00F40195" w:rsidRDefault="00F02794" w:rsidP="00E2519A">
      <w:pPr>
        <w:pStyle w:val="ListParagraph"/>
        <w:widowControl w:val="0"/>
        <w:numPr>
          <w:ilvl w:val="0"/>
          <w:numId w:val="30"/>
        </w:numPr>
        <w:tabs>
          <w:tab w:val="left" w:pos="220"/>
          <w:tab w:val="left" w:pos="720"/>
        </w:tabs>
        <w:autoSpaceDE w:val="0"/>
        <w:autoSpaceDN w:val="0"/>
        <w:adjustRightInd w:val="0"/>
        <w:spacing w:line="240" w:lineRule="auto"/>
        <w:rPr>
          <w:rFonts w:cs="Times New Roman"/>
        </w:rPr>
      </w:pPr>
      <w:r w:rsidRPr="00F40195">
        <w:rPr>
          <w:rFonts w:cs="Times New Roman"/>
        </w:rPr>
        <w:t xml:space="preserve">Educational funding distribution systems </w:t>
      </w:r>
    </w:p>
    <w:p w:rsidR="00F02794" w:rsidRPr="00F40195" w:rsidRDefault="00F02794" w:rsidP="00E2519A">
      <w:pPr>
        <w:pStyle w:val="ListParagraph"/>
        <w:widowControl w:val="0"/>
        <w:numPr>
          <w:ilvl w:val="0"/>
          <w:numId w:val="30"/>
        </w:numPr>
        <w:tabs>
          <w:tab w:val="left" w:pos="220"/>
          <w:tab w:val="left" w:pos="720"/>
        </w:tabs>
        <w:autoSpaceDE w:val="0"/>
        <w:autoSpaceDN w:val="0"/>
        <w:adjustRightInd w:val="0"/>
        <w:spacing w:line="240" w:lineRule="auto"/>
        <w:rPr>
          <w:rFonts w:cs="Times New Roman"/>
        </w:rPr>
      </w:pPr>
      <w:r w:rsidRPr="00F40195">
        <w:rPr>
          <w:rFonts w:cs="Times New Roman"/>
        </w:rPr>
        <w:t>Expenditures and student achievement data over the past decade</w:t>
      </w:r>
    </w:p>
    <w:p w:rsidR="00F02794" w:rsidRPr="00F40195" w:rsidRDefault="00F02794" w:rsidP="00E2519A">
      <w:pPr>
        <w:pStyle w:val="ListParagraph"/>
        <w:widowControl w:val="0"/>
        <w:numPr>
          <w:ilvl w:val="0"/>
          <w:numId w:val="30"/>
        </w:numPr>
        <w:tabs>
          <w:tab w:val="left" w:pos="220"/>
          <w:tab w:val="left" w:pos="720"/>
        </w:tabs>
        <w:autoSpaceDE w:val="0"/>
        <w:autoSpaceDN w:val="0"/>
        <w:adjustRightInd w:val="0"/>
        <w:spacing w:line="240" w:lineRule="auto"/>
        <w:rPr>
          <w:rFonts w:cs="Times New Roman"/>
        </w:rPr>
      </w:pPr>
      <w:r w:rsidRPr="00F40195">
        <w:rPr>
          <w:rFonts w:cs="Times New Roman"/>
        </w:rPr>
        <w:t>School finance equity in comparison states</w:t>
      </w:r>
    </w:p>
    <w:p w:rsidR="00F02794" w:rsidRDefault="00F02794" w:rsidP="00E2519A">
      <w:pPr>
        <w:widowControl w:val="0"/>
        <w:tabs>
          <w:tab w:val="left" w:pos="220"/>
          <w:tab w:val="left" w:pos="720"/>
        </w:tabs>
        <w:autoSpaceDE w:val="0"/>
        <w:autoSpaceDN w:val="0"/>
        <w:adjustRightInd w:val="0"/>
        <w:spacing w:line="240" w:lineRule="auto"/>
        <w:contextualSpacing/>
        <w:rPr>
          <w:rFonts w:cs="Times New Roman"/>
        </w:rPr>
      </w:pPr>
      <w:r w:rsidRPr="00F40195">
        <w:rPr>
          <w:rFonts w:cs="Times New Roman"/>
        </w:rPr>
        <w:t xml:space="preserve">To address these questions, we reviewed data from national and state educational organizations as well as various peer reviewed academic sources. </w:t>
      </w:r>
    </w:p>
    <w:p w:rsidR="00090DBD" w:rsidRPr="00F40195" w:rsidRDefault="00090DBD" w:rsidP="00E2519A">
      <w:pPr>
        <w:widowControl w:val="0"/>
        <w:tabs>
          <w:tab w:val="left" w:pos="220"/>
          <w:tab w:val="left" w:pos="720"/>
        </w:tabs>
        <w:autoSpaceDE w:val="0"/>
        <w:autoSpaceDN w:val="0"/>
        <w:adjustRightInd w:val="0"/>
        <w:spacing w:line="240" w:lineRule="auto"/>
        <w:contextualSpacing/>
        <w:rPr>
          <w:rFonts w:cs="Times New Roman"/>
          <w:i/>
          <w:iCs/>
        </w:rPr>
      </w:pPr>
    </w:p>
    <w:p w:rsidR="00F02794" w:rsidRPr="00F40195" w:rsidRDefault="00F02794" w:rsidP="00E2519A">
      <w:pPr>
        <w:pStyle w:val="Heading2"/>
        <w:spacing w:before="0" w:after="0"/>
      </w:pPr>
      <w:bookmarkStart w:id="13" w:name="_Toc385250699"/>
      <w:bookmarkStart w:id="14" w:name="_Toc395180641"/>
      <w:r w:rsidRPr="00F40195">
        <w:t>Selecting Comparative States</w:t>
      </w:r>
      <w:bookmarkEnd w:id="13"/>
      <w:bookmarkEnd w:id="14"/>
    </w:p>
    <w:p w:rsidR="00F02794" w:rsidRPr="00F40195" w:rsidRDefault="00F02794" w:rsidP="00E2519A">
      <w:pPr>
        <w:widowControl w:val="0"/>
        <w:tabs>
          <w:tab w:val="left" w:pos="220"/>
          <w:tab w:val="left" w:pos="720"/>
        </w:tabs>
        <w:autoSpaceDE w:val="0"/>
        <w:autoSpaceDN w:val="0"/>
        <w:adjustRightInd w:val="0"/>
        <w:spacing w:line="240" w:lineRule="auto"/>
        <w:contextualSpacing/>
        <w:rPr>
          <w:rFonts w:cs="Times New Roman"/>
        </w:rPr>
      </w:pPr>
    </w:p>
    <w:p w:rsidR="00F02794" w:rsidRPr="00F40195" w:rsidRDefault="00F02794" w:rsidP="00E2519A">
      <w:pPr>
        <w:widowControl w:val="0"/>
        <w:autoSpaceDE w:val="0"/>
        <w:autoSpaceDN w:val="0"/>
        <w:adjustRightInd w:val="0"/>
        <w:spacing w:line="240" w:lineRule="auto"/>
        <w:contextualSpacing/>
        <w:rPr>
          <w:rFonts w:cs="Times New Roman"/>
          <w:color w:val="1F1F1F"/>
        </w:rPr>
      </w:pPr>
      <w:r w:rsidRPr="00F40195">
        <w:rPr>
          <w:rFonts w:cs="Times New Roman"/>
        </w:rPr>
        <w:t>In the description that follows, we compare information on Kentucky’s status to national averages as well as to a set of comparable states</w:t>
      </w:r>
      <w:r w:rsidRPr="00F40195">
        <w:rPr>
          <w:rFonts w:cs="Times New Roman"/>
          <w:color w:val="1F1F1F"/>
        </w:rPr>
        <w:t xml:space="preserve">. </w:t>
      </w:r>
      <w:r w:rsidR="00055D88" w:rsidRPr="00F40195">
        <w:rPr>
          <w:rFonts w:cs="Times New Roman"/>
          <w:color w:val="1F1F1F"/>
        </w:rPr>
        <w:t>Weights were applied to data in two ways: c</w:t>
      </w:r>
      <w:r w:rsidRPr="00F40195">
        <w:rPr>
          <w:rFonts w:cs="Times New Roman"/>
          <w:color w:val="1F1F1F"/>
        </w:rPr>
        <w:t>omparable states were chosen based on whether</w:t>
      </w:r>
      <w:r w:rsidR="004E380C">
        <w:rPr>
          <w:rFonts w:cs="Times New Roman"/>
          <w:color w:val="1F1F1F"/>
        </w:rPr>
        <w:t xml:space="preserve"> the state borders Kentucky (25 percent</w:t>
      </w:r>
      <w:r w:rsidRPr="00F40195">
        <w:rPr>
          <w:rFonts w:cs="Times New Roman"/>
          <w:color w:val="1F1F1F"/>
        </w:rPr>
        <w:t xml:space="preserve">) and how closely they matched Kentucky on a </w:t>
      </w:r>
      <w:r w:rsidR="004E380C">
        <w:rPr>
          <w:rFonts w:cs="Times New Roman"/>
          <w:color w:val="1F1F1F"/>
        </w:rPr>
        <w:t>set of education statistics (75 percent</w:t>
      </w:r>
      <w:r w:rsidRPr="00F40195">
        <w:rPr>
          <w:rFonts w:cs="Times New Roman"/>
          <w:color w:val="1F1F1F"/>
        </w:rPr>
        <w:t xml:space="preserve">). The following educational data was used to choose comparable states: </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 xml:space="preserve">State student enrollment (National Center for Education Statistics, or NCES) </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Number of districts</w:t>
      </w:r>
      <w:r w:rsidR="001F7B38">
        <w:rPr>
          <w:rFonts w:cs="Times New Roman"/>
          <w:color w:val="1F1F1F"/>
        </w:rPr>
        <w:t xml:space="preserve"> </w:t>
      </w:r>
      <w:r w:rsidRPr="00F40195">
        <w:rPr>
          <w:rFonts w:cs="Times New Roman"/>
          <w:color w:val="1F1F1F"/>
        </w:rPr>
        <w:t>(NCES)</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Average number of students per district</w:t>
      </w:r>
      <w:r w:rsidR="001F7B38">
        <w:rPr>
          <w:rFonts w:cs="Times New Roman"/>
          <w:color w:val="1F1F1F"/>
        </w:rPr>
        <w:t xml:space="preserve"> </w:t>
      </w:r>
      <w:r w:rsidRPr="00F40195">
        <w:rPr>
          <w:rFonts w:cs="Times New Roman"/>
          <w:color w:val="1F1F1F"/>
        </w:rPr>
        <w:t>(NCES)</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Percentage of students qualifying for free/reduced price lunch (U.S. DOE)</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Average household income (U.S. Census)</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Average expenditures per pupil (U.S. Census)</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Relative tax effort</w:t>
      </w:r>
      <w:r w:rsidR="001F7B38">
        <w:rPr>
          <w:rFonts w:cs="Times New Roman"/>
          <w:color w:val="1F1F1F"/>
        </w:rPr>
        <w:t xml:space="preserve"> </w:t>
      </w:r>
      <w:r w:rsidRPr="00F40195">
        <w:rPr>
          <w:rFonts w:cs="Times New Roman"/>
          <w:color w:val="1F1F1F"/>
        </w:rPr>
        <w:t>(National Education Association)</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State/Local/Federal education expenditure split (U.S. Census)</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National Assessment of Educational Progress scores</w:t>
      </w:r>
      <w:r w:rsidR="001F7B38">
        <w:rPr>
          <w:rFonts w:cs="Times New Roman"/>
          <w:color w:val="1F1F1F"/>
        </w:rPr>
        <w:t xml:space="preserve"> </w:t>
      </w:r>
      <w:r w:rsidRPr="00F40195">
        <w:rPr>
          <w:rFonts w:cs="Times New Roman"/>
          <w:color w:val="1F1F1F"/>
        </w:rPr>
        <w:t>for reading and math in the 4</w:t>
      </w:r>
      <w:r w:rsidRPr="00F40195">
        <w:rPr>
          <w:rFonts w:cs="Times New Roman"/>
          <w:color w:val="1F1F1F"/>
          <w:vertAlign w:val="superscript"/>
        </w:rPr>
        <w:t>th</w:t>
      </w:r>
      <w:r w:rsidRPr="00F40195">
        <w:rPr>
          <w:rFonts w:cs="Times New Roman"/>
          <w:color w:val="1F1F1F"/>
        </w:rPr>
        <w:t xml:space="preserve"> &amp; 8</w:t>
      </w:r>
      <w:r w:rsidRPr="00F40195">
        <w:rPr>
          <w:rFonts w:cs="Times New Roman"/>
          <w:color w:val="1F1F1F"/>
          <w:vertAlign w:val="superscript"/>
        </w:rPr>
        <w:t>th</w:t>
      </w:r>
      <w:r w:rsidRPr="00F40195">
        <w:rPr>
          <w:rFonts w:cs="Times New Roman"/>
          <w:color w:val="1F1F1F"/>
        </w:rPr>
        <w:t xml:space="preserve"> grades (NCES)</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High school graduation rates</w:t>
      </w:r>
      <w:r w:rsidR="001F7B38">
        <w:rPr>
          <w:rFonts w:cs="Times New Roman"/>
          <w:color w:val="1F1F1F"/>
        </w:rPr>
        <w:t xml:space="preserve"> </w:t>
      </w:r>
      <w:r w:rsidRPr="00F40195">
        <w:rPr>
          <w:rFonts w:cs="Times New Roman"/>
          <w:color w:val="1F1F1F"/>
        </w:rPr>
        <w:t>(U.S. Department of Education)</w:t>
      </w:r>
    </w:p>
    <w:p w:rsidR="00F02794" w:rsidRPr="00F40195" w:rsidRDefault="00F02794" w:rsidP="00F40195">
      <w:pPr>
        <w:pStyle w:val="ListParagraph"/>
        <w:widowControl w:val="0"/>
        <w:numPr>
          <w:ilvl w:val="0"/>
          <w:numId w:val="29"/>
        </w:numPr>
        <w:autoSpaceDE w:val="0"/>
        <w:autoSpaceDN w:val="0"/>
        <w:adjustRightInd w:val="0"/>
        <w:spacing w:after="360" w:line="240" w:lineRule="auto"/>
        <w:rPr>
          <w:rFonts w:cs="Times New Roman"/>
          <w:color w:val="1F1F1F"/>
        </w:rPr>
      </w:pPr>
      <w:r w:rsidRPr="00F40195">
        <w:rPr>
          <w:rFonts w:cs="Times New Roman"/>
          <w:color w:val="1F1F1F"/>
        </w:rPr>
        <w:t>College-going rates</w:t>
      </w:r>
      <w:r w:rsidR="001F7B38">
        <w:rPr>
          <w:rFonts w:cs="Times New Roman"/>
          <w:color w:val="1F1F1F"/>
        </w:rPr>
        <w:t xml:space="preserve"> </w:t>
      </w:r>
      <w:r w:rsidRPr="00F40195">
        <w:rPr>
          <w:rFonts w:cs="Times New Roman"/>
          <w:color w:val="1F1F1F"/>
        </w:rPr>
        <w:t>(CL Higher Education Center).</w:t>
      </w:r>
    </w:p>
    <w:p w:rsidR="00F02794" w:rsidRPr="00F40195" w:rsidRDefault="00F02794" w:rsidP="00090DBD">
      <w:pPr>
        <w:widowControl w:val="0"/>
        <w:autoSpaceDE w:val="0"/>
        <w:autoSpaceDN w:val="0"/>
        <w:adjustRightInd w:val="0"/>
        <w:spacing w:line="240" w:lineRule="auto"/>
        <w:rPr>
          <w:rFonts w:cs="Times New Roman"/>
          <w:color w:val="1F1F1F"/>
        </w:rPr>
      </w:pPr>
      <w:r w:rsidRPr="00F40195">
        <w:rPr>
          <w:rFonts w:cs="Times New Roman"/>
          <w:color w:val="1F1F1F"/>
        </w:rPr>
        <w:t xml:space="preserve">Using the above search criteria it was determined that the comparable states for this study would be: </w:t>
      </w:r>
    </w:p>
    <w:p w:rsidR="00F02794" w:rsidRPr="00F40195" w:rsidRDefault="00F02794" w:rsidP="00090DBD">
      <w:pPr>
        <w:pStyle w:val="ListParagraph"/>
        <w:widowControl w:val="0"/>
        <w:numPr>
          <w:ilvl w:val="0"/>
          <w:numId w:val="33"/>
        </w:numPr>
        <w:autoSpaceDE w:val="0"/>
        <w:autoSpaceDN w:val="0"/>
        <w:adjustRightInd w:val="0"/>
        <w:spacing w:line="240" w:lineRule="auto"/>
        <w:rPr>
          <w:rFonts w:cs="Times New Roman"/>
          <w:color w:val="1F1F1F"/>
        </w:rPr>
      </w:pPr>
      <w:r w:rsidRPr="00F40195">
        <w:rPr>
          <w:rFonts w:cs="Times New Roman"/>
          <w:color w:val="1F1F1F"/>
        </w:rPr>
        <w:t>Alabama – Matches Kentucky on 7 different categories (Student enrollment, free/reduced price lunch students, household income, per pupil expenditures and revenue from federal, state and local sources)</w:t>
      </w:r>
    </w:p>
    <w:p w:rsidR="00F02794" w:rsidRPr="00F40195" w:rsidRDefault="00F02794" w:rsidP="00F40195">
      <w:pPr>
        <w:pStyle w:val="ListParagraph"/>
        <w:widowControl w:val="0"/>
        <w:numPr>
          <w:ilvl w:val="0"/>
          <w:numId w:val="33"/>
        </w:numPr>
        <w:autoSpaceDE w:val="0"/>
        <w:autoSpaceDN w:val="0"/>
        <w:adjustRightInd w:val="0"/>
        <w:spacing w:after="360" w:line="240" w:lineRule="auto"/>
        <w:rPr>
          <w:rFonts w:cs="Times New Roman"/>
          <w:color w:val="1F1F1F"/>
        </w:rPr>
      </w:pPr>
      <w:r w:rsidRPr="00F40195">
        <w:rPr>
          <w:rFonts w:cs="Times New Roman"/>
          <w:color w:val="1F1F1F"/>
        </w:rPr>
        <w:t xml:space="preserve">Arkansas - Matches Kentucky </w:t>
      </w:r>
      <w:r w:rsidR="00C7112F">
        <w:rPr>
          <w:rFonts w:cs="Times New Roman"/>
          <w:color w:val="1F1F1F"/>
        </w:rPr>
        <w:t>on</w:t>
      </w:r>
      <w:r w:rsidRPr="00F40195">
        <w:rPr>
          <w:rFonts w:cs="Times New Roman"/>
          <w:color w:val="1F1F1F"/>
        </w:rPr>
        <w:t xml:space="preserve"> 7 different categories (Free/reduced price lunch students, household income, per pupil expenditures, revenue from federal sources, 4</w:t>
      </w:r>
      <w:r w:rsidRPr="00F40195">
        <w:rPr>
          <w:rFonts w:cs="Times New Roman"/>
          <w:color w:val="1F1F1F"/>
          <w:vertAlign w:val="superscript"/>
        </w:rPr>
        <w:t>th</w:t>
      </w:r>
      <w:r w:rsidRPr="00F40195">
        <w:rPr>
          <w:rFonts w:cs="Times New Roman"/>
          <w:color w:val="1F1F1F"/>
        </w:rPr>
        <w:t xml:space="preserve"> and 8</w:t>
      </w:r>
      <w:r w:rsidRPr="00F40195">
        <w:rPr>
          <w:rFonts w:cs="Times New Roman"/>
          <w:color w:val="1F1F1F"/>
          <w:vertAlign w:val="superscript"/>
        </w:rPr>
        <w:t>th</w:t>
      </w:r>
      <w:r w:rsidRPr="00F40195">
        <w:rPr>
          <w:rFonts w:cs="Times New Roman"/>
          <w:color w:val="1F1F1F"/>
        </w:rPr>
        <w:t xml:space="preserve"> grade NAEP math scores and college going rates)</w:t>
      </w:r>
    </w:p>
    <w:p w:rsidR="00F02794" w:rsidRPr="00F40195" w:rsidRDefault="00F02794" w:rsidP="00F40195">
      <w:pPr>
        <w:pStyle w:val="ListParagraph"/>
        <w:widowControl w:val="0"/>
        <w:numPr>
          <w:ilvl w:val="0"/>
          <w:numId w:val="33"/>
        </w:numPr>
        <w:autoSpaceDE w:val="0"/>
        <w:autoSpaceDN w:val="0"/>
        <w:adjustRightInd w:val="0"/>
        <w:spacing w:after="360" w:line="240" w:lineRule="auto"/>
        <w:rPr>
          <w:rFonts w:cs="Times New Roman"/>
          <w:color w:val="1F1F1F"/>
        </w:rPr>
      </w:pPr>
      <w:r w:rsidRPr="00F40195">
        <w:rPr>
          <w:rFonts w:cs="Times New Roman"/>
          <w:color w:val="1F1F1F"/>
        </w:rPr>
        <w:t>Indiana – A border state that matches Kentucky in 3 different categories (District size, K-12 revenue per $1,000 of income and percent of revenue from state sources)</w:t>
      </w:r>
    </w:p>
    <w:p w:rsidR="00F02794" w:rsidRPr="00F40195" w:rsidRDefault="00F02794" w:rsidP="00F40195">
      <w:pPr>
        <w:pStyle w:val="ListParagraph"/>
        <w:widowControl w:val="0"/>
        <w:numPr>
          <w:ilvl w:val="0"/>
          <w:numId w:val="33"/>
        </w:numPr>
        <w:autoSpaceDE w:val="0"/>
        <w:autoSpaceDN w:val="0"/>
        <w:adjustRightInd w:val="0"/>
        <w:spacing w:after="360" w:line="240" w:lineRule="auto"/>
        <w:rPr>
          <w:rFonts w:cs="Times New Roman"/>
          <w:color w:val="1F1F1F"/>
        </w:rPr>
      </w:pPr>
      <w:r w:rsidRPr="00F40195">
        <w:rPr>
          <w:rFonts w:cs="Times New Roman"/>
          <w:color w:val="1F1F1F"/>
        </w:rPr>
        <w:t xml:space="preserve">Missouri – A border state that matches Kentucky in 6 different education categories </w:t>
      </w:r>
      <w:r w:rsidRPr="00F40195">
        <w:rPr>
          <w:rFonts w:cs="Times New Roman"/>
          <w:color w:val="1F1F1F"/>
        </w:rPr>
        <w:lastRenderedPageBreak/>
        <w:t>(Percent of revenue from federal sources, 4</w:t>
      </w:r>
      <w:r w:rsidRPr="00F40195">
        <w:rPr>
          <w:rFonts w:cs="Times New Roman"/>
          <w:color w:val="1F1F1F"/>
          <w:vertAlign w:val="superscript"/>
        </w:rPr>
        <w:t>th</w:t>
      </w:r>
      <w:r w:rsidRPr="00F40195">
        <w:rPr>
          <w:rFonts w:cs="Times New Roman"/>
          <w:color w:val="1F1F1F"/>
        </w:rPr>
        <w:t xml:space="preserve"> and 8</w:t>
      </w:r>
      <w:r w:rsidRPr="00F40195">
        <w:rPr>
          <w:rFonts w:cs="Times New Roman"/>
          <w:color w:val="1F1F1F"/>
          <w:vertAlign w:val="superscript"/>
        </w:rPr>
        <w:t>th</w:t>
      </w:r>
      <w:r w:rsidRPr="00F40195">
        <w:rPr>
          <w:rFonts w:cs="Times New Roman"/>
          <w:color w:val="1F1F1F"/>
        </w:rPr>
        <w:t xml:space="preserve"> grade NAEP reading and math scores and college going rates)</w:t>
      </w:r>
    </w:p>
    <w:p w:rsidR="00F02794" w:rsidRPr="00F40195" w:rsidRDefault="00F02794" w:rsidP="00F40195">
      <w:pPr>
        <w:pStyle w:val="ListParagraph"/>
        <w:widowControl w:val="0"/>
        <w:numPr>
          <w:ilvl w:val="0"/>
          <w:numId w:val="33"/>
        </w:numPr>
        <w:autoSpaceDE w:val="0"/>
        <w:autoSpaceDN w:val="0"/>
        <w:adjustRightInd w:val="0"/>
        <w:spacing w:after="360" w:line="240" w:lineRule="auto"/>
        <w:rPr>
          <w:rFonts w:cs="Times New Roman"/>
          <w:color w:val="1F1F1F"/>
        </w:rPr>
      </w:pPr>
      <w:r w:rsidRPr="00F40195">
        <w:rPr>
          <w:rFonts w:cs="Times New Roman"/>
          <w:color w:val="1F1F1F"/>
        </w:rPr>
        <w:t>Ohio – A border state that also matches Kentucky in 3 different categories (4</w:t>
      </w:r>
      <w:r w:rsidRPr="00F40195">
        <w:rPr>
          <w:rFonts w:cs="Times New Roman"/>
          <w:color w:val="1F1F1F"/>
          <w:vertAlign w:val="superscript"/>
        </w:rPr>
        <w:t>th</w:t>
      </w:r>
      <w:r w:rsidRPr="00F40195">
        <w:rPr>
          <w:rFonts w:cs="Times New Roman"/>
          <w:color w:val="1F1F1F"/>
        </w:rPr>
        <w:t xml:space="preserve"> and 8</w:t>
      </w:r>
      <w:r w:rsidRPr="00F40195">
        <w:rPr>
          <w:rFonts w:cs="Times New Roman"/>
          <w:color w:val="1F1F1F"/>
          <w:vertAlign w:val="superscript"/>
        </w:rPr>
        <w:t>th</w:t>
      </w:r>
      <w:r w:rsidRPr="00F40195">
        <w:rPr>
          <w:rFonts w:cs="Times New Roman"/>
          <w:color w:val="1F1F1F"/>
        </w:rPr>
        <w:t xml:space="preserve"> grade NAEP reading scores and college going rates)</w:t>
      </w:r>
    </w:p>
    <w:p w:rsidR="00F02794" w:rsidRPr="00F40195" w:rsidRDefault="00F02794" w:rsidP="00F40195">
      <w:pPr>
        <w:pStyle w:val="ListParagraph"/>
        <w:widowControl w:val="0"/>
        <w:numPr>
          <w:ilvl w:val="0"/>
          <w:numId w:val="33"/>
        </w:numPr>
        <w:autoSpaceDE w:val="0"/>
        <w:autoSpaceDN w:val="0"/>
        <w:adjustRightInd w:val="0"/>
        <w:spacing w:after="360" w:line="240" w:lineRule="auto"/>
        <w:rPr>
          <w:rFonts w:cs="Times New Roman"/>
          <w:color w:val="1F1F1F"/>
        </w:rPr>
      </w:pPr>
      <w:r w:rsidRPr="00F40195">
        <w:rPr>
          <w:rFonts w:cs="Times New Roman"/>
          <w:color w:val="1F1F1F"/>
        </w:rPr>
        <w:t>Tennessee – A border state that matches Kentucky in 3 different categories (Number of districts, free/reduced price lunch students and household income)</w:t>
      </w:r>
    </w:p>
    <w:p w:rsidR="00BA322E" w:rsidRDefault="00F02794" w:rsidP="00090DBD">
      <w:pPr>
        <w:pStyle w:val="ListParagraph"/>
        <w:widowControl w:val="0"/>
        <w:numPr>
          <w:ilvl w:val="0"/>
          <w:numId w:val="33"/>
        </w:numPr>
        <w:autoSpaceDE w:val="0"/>
        <w:autoSpaceDN w:val="0"/>
        <w:adjustRightInd w:val="0"/>
        <w:spacing w:line="240" w:lineRule="auto"/>
        <w:rPr>
          <w:rFonts w:cs="Times New Roman"/>
          <w:color w:val="1F1F1F"/>
        </w:rPr>
      </w:pPr>
      <w:r w:rsidRPr="00F40195">
        <w:rPr>
          <w:rFonts w:cs="Times New Roman"/>
          <w:color w:val="1F1F1F"/>
        </w:rPr>
        <w:t>West Virginia – A border state that matches Kentucky in 5 different categories (Free/reduced price lunch students, household income and percentage of revenue from federal, state and local sources)</w:t>
      </w:r>
      <w:bookmarkStart w:id="15" w:name="_Toc385250700"/>
    </w:p>
    <w:p w:rsidR="00090DBD" w:rsidRPr="00F40195" w:rsidRDefault="00090DBD" w:rsidP="00090DBD">
      <w:pPr>
        <w:pStyle w:val="ListParagraph"/>
        <w:widowControl w:val="0"/>
        <w:autoSpaceDE w:val="0"/>
        <w:autoSpaceDN w:val="0"/>
        <w:adjustRightInd w:val="0"/>
        <w:spacing w:line="240" w:lineRule="auto"/>
        <w:rPr>
          <w:rFonts w:cs="Times New Roman"/>
          <w:color w:val="1F1F1F"/>
        </w:rPr>
      </w:pPr>
    </w:p>
    <w:p w:rsidR="00BA322E" w:rsidRPr="00F40195" w:rsidRDefault="00BA322E" w:rsidP="00090DBD">
      <w:pPr>
        <w:widowControl w:val="0"/>
        <w:autoSpaceDE w:val="0"/>
        <w:autoSpaceDN w:val="0"/>
        <w:adjustRightInd w:val="0"/>
        <w:spacing w:line="240" w:lineRule="auto"/>
        <w:rPr>
          <w:rFonts w:cs="Times New Roman"/>
          <w:color w:val="1F1F1F"/>
        </w:rPr>
      </w:pPr>
      <w:r w:rsidRPr="00F40195">
        <w:rPr>
          <w:rFonts w:cs="Times New Roman"/>
          <w:color w:val="1F1F1F"/>
        </w:rPr>
        <w:t xml:space="preserve">Five of the seven comparable states border Kentucky. Only two </w:t>
      </w:r>
      <w:proofErr w:type="gramStart"/>
      <w:r w:rsidRPr="00F40195">
        <w:rPr>
          <w:rFonts w:cs="Times New Roman"/>
          <w:color w:val="1F1F1F"/>
        </w:rPr>
        <w:t>border states</w:t>
      </w:r>
      <w:proofErr w:type="gramEnd"/>
      <w:r w:rsidRPr="00F40195">
        <w:rPr>
          <w:rFonts w:cs="Times New Roman"/>
          <w:color w:val="1F1F1F"/>
        </w:rPr>
        <w:t xml:space="preserve"> – Illinois and Virginia – were not included as comparable states. Both states only matched Kentucky in two categories and possessed extensive outliers in other categories. Illinois and Virginia student populations are significantly larger than Kentucky by 1.4 million and 546,000 respectively</w:t>
      </w:r>
      <w:r w:rsidR="00BD0C73">
        <w:rPr>
          <w:rFonts w:cs="Times New Roman"/>
          <w:color w:val="1F1F1F"/>
        </w:rPr>
        <w:t>,</w:t>
      </w:r>
      <w:r w:rsidRPr="00F40195">
        <w:rPr>
          <w:rFonts w:cs="Times New Roman"/>
          <w:color w:val="1F1F1F"/>
        </w:rPr>
        <w:t xml:space="preserve"> and because of this their average district sizes are not comparable to Kentucky. In addition, both state</w:t>
      </w:r>
      <w:r w:rsidR="00BD0C73">
        <w:rPr>
          <w:rFonts w:cs="Times New Roman"/>
          <w:color w:val="1F1F1F"/>
        </w:rPr>
        <w:t>s</w:t>
      </w:r>
      <w:r w:rsidRPr="00F40195">
        <w:rPr>
          <w:rFonts w:cs="Times New Roman"/>
          <w:color w:val="1F1F1F"/>
        </w:rPr>
        <w:t xml:space="preserve"> spend more per pupil than Kentucky - 18</w:t>
      </w:r>
      <w:r w:rsidR="004E380C">
        <w:rPr>
          <w:rFonts w:cs="Times New Roman"/>
          <w:color w:val="1F1F1F"/>
        </w:rPr>
        <w:t>.4 percent higher in Virginia and 30.0 percent</w:t>
      </w:r>
      <w:r w:rsidRPr="00F40195">
        <w:rPr>
          <w:rFonts w:cs="Times New Roman"/>
          <w:color w:val="1F1F1F"/>
        </w:rPr>
        <w:t xml:space="preserve"> higher in Illinois.</w:t>
      </w:r>
    </w:p>
    <w:p w:rsidR="00F02794" w:rsidRPr="00090DBD" w:rsidRDefault="00F02794" w:rsidP="00090DBD">
      <w:pPr>
        <w:pStyle w:val="Heading2"/>
      </w:pPr>
      <w:bookmarkStart w:id="16" w:name="_Toc395180642"/>
      <w:r w:rsidRPr="00F40195">
        <w:t>State Comparative Findings</w:t>
      </w:r>
      <w:bookmarkEnd w:id="15"/>
      <w:bookmarkEnd w:id="16"/>
      <w:r w:rsidR="00090DBD">
        <w:t xml:space="preserve"> </w:t>
      </w:r>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The findings from this interstate comparison can be summarized as follows:</w:t>
      </w:r>
    </w:p>
    <w:p w:rsidR="00F02794" w:rsidRPr="00F40195" w:rsidRDefault="00F02794" w:rsidP="008D674A">
      <w:pPr>
        <w:pStyle w:val="Heading3"/>
      </w:pPr>
      <w:bookmarkStart w:id="17" w:name="_Toc385250701"/>
      <w:bookmarkStart w:id="18" w:name="_Toc395180643"/>
      <w:r w:rsidRPr="00F40195">
        <w:t>Educational Expenditures</w:t>
      </w:r>
      <w:bookmarkEnd w:id="17"/>
      <w:bookmarkEnd w:id="18"/>
      <w:r w:rsidRPr="00F40195">
        <w:t xml:space="preserve"> </w:t>
      </w:r>
    </w:p>
    <w:p w:rsidR="00F02794" w:rsidRPr="00F40195" w:rsidRDefault="00F02794" w:rsidP="00F40195">
      <w:pPr>
        <w:pStyle w:val="ListParagraph"/>
        <w:widowControl w:val="0"/>
        <w:numPr>
          <w:ilvl w:val="0"/>
          <w:numId w:val="31"/>
        </w:numPr>
        <w:tabs>
          <w:tab w:val="left" w:pos="940"/>
          <w:tab w:val="left" w:pos="1440"/>
        </w:tabs>
        <w:autoSpaceDE w:val="0"/>
        <w:autoSpaceDN w:val="0"/>
        <w:adjustRightInd w:val="0"/>
        <w:spacing w:after="320" w:line="240" w:lineRule="auto"/>
        <w:rPr>
          <w:rFonts w:cs="Times New Roman"/>
        </w:rPr>
      </w:pPr>
      <w:r w:rsidRPr="00F40195">
        <w:rPr>
          <w:rFonts w:cs="Times New Roman"/>
        </w:rPr>
        <w:t>Kentucky’s estimated per pupil funding for 2012-13 was $9,891 – which ranked 31</w:t>
      </w:r>
      <w:r w:rsidRPr="00F40195">
        <w:rPr>
          <w:rFonts w:cs="Times New Roman"/>
          <w:vertAlign w:val="superscript"/>
        </w:rPr>
        <w:t>st</w:t>
      </w:r>
      <w:r w:rsidRPr="00F40195">
        <w:rPr>
          <w:rFonts w:cs="Times New Roman"/>
        </w:rPr>
        <w:t xml:space="preserve"> in the nation and was behind 5 of the 7 comparable states. In 2012-13 Kentucky spent </w:t>
      </w:r>
      <w:r w:rsidR="00956870">
        <w:rPr>
          <w:rFonts w:cs="Times New Roman"/>
        </w:rPr>
        <w:t>$</w:t>
      </w:r>
      <w:r w:rsidR="00F11EA8">
        <w:rPr>
          <w:rFonts w:cs="Times New Roman"/>
        </w:rPr>
        <w:t>9,891</w:t>
      </w:r>
      <w:r w:rsidR="005937D5">
        <w:rPr>
          <w:rFonts w:cs="Times New Roman"/>
        </w:rPr>
        <w:t xml:space="preserve"> per pupil</w:t>
      </w:r>
      <w:r w:rsidR="00956870">
        <w:rPr>
          <w:rFonts w:cs="Times New Roman"/>
        </w:rPr>
        <w:t xml:space="preserve">, which was </w:t>
      </w:r>
      <w:r w:rsidRPr="00F40195">
        <w:rPr>
          <w:rFonts w:cs="Times New Roman"/>
        </w:rPr>
        <w:t>$1,177 (10.6</w:t>
      </w:r>
      <w:r w:rsidR="004E380C">
        <w:rPr>
          <w:rFonts w:cs="Times New Roman"/>
        </w:rPr>
        <w:t xml:space="preserve"> percent</w:t>
      </w:r>
      <w:r w:rsidRPr="00F40195">
        <w:rPr>
          <w:rFonts w:cs="Times New Roman"/>
        </w:rPr>
        <w:t xml:space="preserve"> less per pupil than the national average</w:t>
      </w:r>
      <w:r w:rsidR="00956870">
        <w:rPr>
          <w:rFonts w:cs="Times New Roman"/>
        </w:rPr>
        <w:t xml:space="preserve"> of $</w:t>
      </w:r>
      <w:r w:rsidR="005937D5">
        <w:rPr>
          <w:rFonts w:cs="Times New Roman"/>
        </w:rPr>
        <w:t>11,068</w:t>
      </w:r>
      <w:r w:rsidRPr="00F40195">
        <w:rPr>
          <w:rFonts w:cs="Times New Roman"/>
        </w:rPr>
        <w:t xml:space="preserve"> (NEA, 2013)</w:t>
      </w:r>
      <w:r w:rsidR="00836748" w:rsidRPr="00F40195">
        <w:rPr>
          <w:rFonts w:cs="Times New Roman"/>
        </w:rPr>
        <w:t>.</w:t>
      </w:r>
    </w:p>
    <w:p w:rsidR="00F02794" w:rsidRPr="00F40195" w:rsidRDefault="00F02794" w:rsidP="00F40195">
      <w:pPr>
        <w:pStyle w:val="ListParagraph"/>
        <w:widowControl w:val="0"/>
        <w:numPr>
          <w:ilvl w:val="0"/>
          <w:numId w:val="31"/>
        </w:numPr>
        <w:tabs>
          <w:tab w:val="left" w:pos="940"/>
          <w:tab w:val="left" w:pos="1440"/>
        </w:tabs>
        <w:autoSpaceDE w:val="0"/>
        <w:autoSpaceDN w:val="0"/>
        <w:adjustRightInd w:val="0"/>
        <w:spacing w:after="320" w:line="240" w:lineRule="auto"/>
        <w:rPr>
          <w:rFonts w:cs="Times New Roman"/>
        </w:rPr>
      </w:pPr>
      <w:r w:rsidRPr="00F40195">
        <w:rPr>
          <w:rFonts w:cs="Times New Roman"/>
        </w:rPr>
        <w:t>Between 2003-04 and 2012-13 Kentucky’s per pupil expenditures grew by $2,395</w:t>
      </w:r>
      <w:r w:rsidR="007F1DD4" w:rsidRPr="00F40195">
        <w:rPr>
          <w:rFonts w:cs="Times New Roman"/>
        </w:rPr>
        <w:t>—</w:t>
      </w:r>
      <w:r w:rsidRPr="00F40195">
        <w:rPr>
          <w:rFonts w:cs="Times New Roman"/>
        </w:rPr>
        <w:t>an</w:t>
      </w:r>
      <w:r w:rsidR="007F1DD4" w:rsidRPr="00F40195">
        <w:rPr>
          <w:rFonts w:cs="Times New Roman"/>
        </w:rPr>
        <w:t xml:space="preserve"> </w:t>
      </w:r>
      <w:r w:rsidRPr="00F40195">
        <w:rPr>
          <w:rFonts w:cs="Times New Roman"/>
        </w:rPr>
        <w:t>increase of 32</w:t>
      </w:r>
      <w:r w:rsidR="00371FF9" w:rsidRPr="00F40195">
        <w:rPr>
          <w:rFonts w:cs="Times New Roman"/>
        </w:rPr>
        <w:t xml:space="preserve"> percent</w:t>
      </w:r>
      <w:r w:rsidR="007F1DD4" w:rsidRPr="00F40195">
        <w:rPr>
          <w:rFonts w:cs="Times New Roman"/>
        </w:rPr>
        <w:t>.</w:t>
      </w:r>
      <w:r w:rsidRPr="00F40195">
        <w:rPr>
          <w:rFonts w:cs="Times New Roman"/>
        </w:rPr>
        <w:t xml:space="preserve"> </w:t>
      </w:r>
      <w:r w:rsidR="007F1DD4" w:rsidRPr="00F40195">
        <w:rPr>
          <w:rFonts w:cs="Times New Roman"/>
        </w:rPr>
        <w:t>D</w:t>
      </w:r>
      <w:r w:rsidRPr="00F40195">
        <w:rPr>
          <w:rFonts w:cs="Times New Roman"/>
        </w:rPr>
        <w:t>uring this same time period per pupil spending grew at the national level by $2,820</w:t>
      </w:r>
      <w:r w:rsidR="007F1DD4" w:rsidRPr="00F40195">
        <w:rPr>
          <w:rFonts w:cs="Times New Roman"/>
        </w:rPr>
        <w:t xml:space="preserve"> or</w:t>
      </w:r>
      <w:r w:rsidR="004E380C">
        <w:rPr>
          <w:rFonts w:cs="Times New Roman"/>
        </w:rPr>
        <w:t xml:space="preserve"> a 40.6 percent</w:t>
      </w:r>
      <w:r w:rsidRPr="00F40195">
        <w:rPr>
          <w:rFonts w:cs="Times New Roman"/>
        </w:rPr>
        <w:t xml:space="preserve"> increase. </w:t>
      </w:r>
    </w:p>
    <w:p w:rsidR="00F02794" w:rsidRPr="00F40195" w:rsidRDefault="00F02794" w:rsidP="008D674A">
      <w:pPr>
        <w:pStyle w:val="Heading3"/>
      </w:pPr>
      <w:bookmarkStart w:id="19" w:name="_Toc385250702"/>
      <w:bookmarkStart w:id="20" w:name="_Toc395180644"/>
      <w:r w:rsidRPr="00F40195">
        <w:t>Student Population</w:t>
      </w:r>
      <w:bookmarkEnd w:id="19"/>
      <w:bookmarkEnd w:id="20"/>
      <w:r w:rsidRPr="00F40195">
        <w:t xml:space="preserve"> </w:t>
      </w:r>
    </w:p>
    <w:p w:rsidR="005937D5" w:rsidRPr="00090DBD" w:rsidRDefault="00F02794" w:rsidP="00090DBD">
      <w:pPr>
        <w:pStyle w:val="ListParagraph"/>
        <w:widowControl w:val="0"/>
        <w:numPr>
          <w:ilvl w:val="0"/>
          <w:numId w:val="34"/>
        </w:numPr>
        <w:tabs>
          <w:tab w:val="left" w:pos="940"/>
          <w:tab w:val="left" w:pos="1440"/>
        </w:tabs>
        <w:autoSpaceDE w:val="0"/>
        <w:autoSpaceDN w:val="0"/>
        <w:adjustRightInd w:val="0"/>
        <w:spacing w:line="240" w:lineRule="auto"/>
        <w:rPr>
          <w:rFonts w:cs="Times New Roman"/>
        </w:rPr>
      </w:pPr>
      <w:r w:rsidRPr="00F40195">
        <w:rPr>
          <w:rFonts w:cs="Times New Roman"/>
        </w:rPr>
        <w:t>Between 2003-04 and 2012-13 Kentucky’s student population</w:t>
      </w:r>
      <w:r w:rsidR="00956870">
        <w:rPr>
          <w:rFonts w:cs="Times New Roman"/>
        </w:rPr>
        <w:t xml:space="preserve"> of </w:t>
      </w:r>
      <w:r w:rsidR="005937D5">
        <w:rPr>
          <w:rFonts w:cs="Times New Roman"/>
        </w:rPr>
        <w:t>631,852</w:t>
      </w:r>
      <w:r w:rsidRPr="00F40195">
        <w:rPr>
          <w:rFonts w:cs="Times New Roman"/>
        </w:rPr>
        <w:t xml:space="preserve"> increased by 30,493 (4.8</w:t>
      </w:r>
      <w:r w:rsidR="00371FF9" w:rsidRPr="00F40195">
        <w:rPr>
          <w:rFonts w:cs="Times New Roman"/>
        </w:rPr>
        <w:t xml:space="preserve"> %</w:t>
      </w:r>
      <w:r w:rsidR="00956870">
        <w:rPr>
          <w:rFonts w:cs="Times New Roman"/>
        </w:rPr>
        <w:t>)</w:t>
      </w:r>
      <w:r w:rsidRPr="00F40195">
        <w:rPr>
          <w:rFonts w:cs="Times New Roman"/>
        </w:rPr>
        <w:t xml:space="preserve"> while at the national level the</w:t>
      </w:r>
      <w:r w:rsidR="009B3120">
        <w:rPr>
          <w:rFonts w:cs="Times New Roman"/>
        </w:rPr>
        <w:t xml:space="preserve"> student population</w:t>
      </w:r>
      <w:r w:rsidR="00956870">
        <w:rPr>
          <w:rFonts w:cs="Times New Roman"/>
        </w:rPr>
        <w:t xml:space="preserve"> of </w:t>
      </w:r>
      <w:r w:rsidR="005937D5">
        <w:rPr>
          <w:rFonts w:cs="Times New Roman"/>
        </w:rPr>
        <w:t xml:space="preserve">48,067,419 </w:t>
      </w:r>
      <w:r w:rsidR="009B3120">
        <w:rPr>
          <w:rFonts w:cs="Times New Roman"/>
        </w:rPr>
        <w:t>grew by 2.</w:t>
      </w:r>
      <w:r w:rsidR="005937D5">
        <w:rPr>
          <w:rFonts w:cs="Times New Roman"/>
        </w:rPr>
        <w:t>6</w:t>
      </w:r>
      <w:r w:rsidR="009B3120">
        <w:rPr>
          <w:rFonts w:cs="Times New Roman"/>
        </w:rPr>
        <w:t xml:space="preserve"> percent</w:t>
      </w:r>
      <w:r w:rsidR="0074432E">
        <w:rPr>
          <w:rFonts w:cs="Times New Roman"/>
        </w:rPr>
        <w:t>)</w:t>
      </w:r>
      <w:r w:rsidRPr="00F40195">
        <w:rPr>
          <w:rFonts w:cs="Times New Roman"/>
        </w:rPr>
        <w:t>.</w:t>
      </w:r>
      <w:r w:rsidR="00956870">
        <w:rPr>
          <w:rFonts w:cs="Times New Roman"/>
        </w:rPr>
        <w:t xml:space="preserve"> </w:t>
      </w:r>
      <w:r w:rsidR="005937D5">
        <w:rPr>
          <w:rFonts w:cs="Times New Roman"/>
        </w:rPr>
        <w:t>The student populations of the comparative states on average grew by 2.5 percent during this same time period.</w:t>
      </w:r>
    </w:p>
    <w:p w:rsidR="00F02794" w:rsidRPr="00F40195" w:rsidRDefault="00F02794" w:rsidP="00090DBD">
      <w:pPr>
        <w:pStyle w:val="ListParagraph"/>
        <w:widowControl w:val="0"/>
        <w:numPr>
          <w:ilvl w:val="0"/>
          <w:numId w:val="34"/>
        </w:numPr>
        <w:tabs>
          <w:tab w:val="left" w:pos="940"/>
          <w:tab w:val="left" w:pos="1440"/>
        </w:tabs>
        <w:autoSpaceDE w:val="0"/>
        <w:autoSpaceDN w:val="0"/>
        <w:adjustRightInd w:val="0"/>
        <w:spacing w:line="240" w:lineRule="auto"/>
        <w:rPr>
          <w:rFonts w:cs="Times New Roman"/>
        </w:rPr>
      </w:pPr>
      <w:r w:rsidRPr="00F40195">
        <w:rPr>
          <w:rFonts w:cs="Times New Roman"/>
        </w:rPr>
        <w:t>Average school district size in Kentucky increased during this time period by 217 students to 3,807 students per district. Kentucky’s average school size ranked as the 17</w:t>
      </w:r>
      <w:r w:rsidRPr="00F40195">
        <w:rPr>
          <w:rFonts w:cs="Times New Roman"/>
          <w:vertAlign w:val="superscript"/>
        </w:rPr>
        <w:t>th</w:t>
      </w:r>
      <w:r w:rsidRPr="00F40195">
        <w:rPr>
          <w:rFonts w:cs="Times New Roman"/>
        </w:rPr>
        <w:t xml:space="preserve"> largest in the nation with an average enrollment 629 students larger than the national average and 1,281 students per district larger than comparable states.</w:t>
      </w:r>
    </w:p>
    <w:p w:rsidR="00F02794" w:rsidRPr="00F40195" w:rsidRDefault="00F02794" w:rsidP="00F40195">
      <w:pPr>
        <w:pStyle w:val="ListParagraph"/>
        <w:widowControl w:val="0"/>
        <w:numPr>
          <w:ilvl w:val="0"/>
          <w:numId w:val="34"/>
        </w:numPr>
        <w:tabs>
          <w:tab w:val="left" w:pos="940"/>
          <w:tab w:val="left" w:pos="1440"/>
        </w:tabs>
        <w:autoSpaceDE w:val="0"/>
        <w:autoSpaceDN w:val="0"/>
        <w:adjustRightInd w:val="0"/>
        <w:spacing w:after="320" w:line="240" w:lineRule="auto"/>
        <w:rPr>
          <w:rFonts w:cs="Times New Roman"/>
        </w:rPr>
      </w:pPr>
      <w:r w:rsidRPr="00F40195">
        <w:rPr>
          <w:rFonts w:cs="Times New Roman"/>
        </w:rPr>
        <w:t>In 2011-12, 54.4</w:t>
      </w:r>
      <w:r w:rsidR="00371FF9" w:rsidRPr="00F40195">
        <w:rPr>
          <w:rFonts w:cs="Times New Roman"/>
        </w:rPr>
        <w:t xml:space="preserve"> percent</w:t>
      </w:r>
      <w:r w:rsidRPr="00F40195">
        <w:rPr>
          <w:rFonts w:cs="Times New Roman"/>
        </w:rPr>
        <w:t xml:space="preserve"> of public school students in Kentucky qualified for free/reduced priced lunches – the 12</w:t>
      </w:r>
      <w:r w:rsidRPr="00F40195">
        <w:rPr>
          <w:rFonts w:cs="Times New Roman"/>
          <w:vertAlign w:val="superscript"/>
        </w:rPr>
        <w:t>th</w:t>
      </w:r>
      <w:r w:rsidRPr="00F40195">
        <w:rPr>
          <w:rFonts w:cs="Times New Roman"/>
        </w:rPr>
        <w:t xml:space="preserve"> highest rate in the country.</w:t>
      </w:r>
      <w:r w:rsidR="00956870">
        <w:rPr>
          <w:rFonts w:cs="Times New Roman"/>
        </w:rPr>
        <w:t xml:space="preserve"> </w:t>
      </w:r>
      <w:r w:rsidR="001363B6">
        <w:rPr>
          <w:rFonts w:cs="Times New Roman"/>
        </w:rPr>
        <w:t>The national average was 49.6</w:t>
      </w:r>
      <w:r w:rsidR="008963DD">
        <w:rPr>
          <w:rFonts w:cs="Times New Roman"/>
        </w:rPr>
        <w:t xml:space="preserve"> </w:t>
      </w:r>
      <w:r w:rsidR="001363B6">
        <w:rPr>
          <w:rFonts w:cs="Times New Roman"/>
        </w:rPr>
        <w:t xml:space="preserve">percent with three comparative states Arkansas (60.9 percent), Alabama (57.5 percent) and Tennessee (57.5 percent) having a higher percentage than </w:t>
      </w:r>
      <w:r w:rsidR="00B8157F">
        <w:rPr>
          <w:rFonts w:cs="Times New Roman"/>
        </w:rPr>
        <w:t xml:space="preserve">Kentucky and four </w:t>
      </w:r>
      <w:r w:rsidR="00B8157F">
        <w:rPr>
          <w:rFonts w:cs="Times New Roman"/>
        </w:rPr>
        <w:lastRenderedPageBreak/>
        <w:t>comparative states Ohio (43.6 percent), Missouri (46.5), Indiana (48 percent) and West Virginia (52.8 percent) having a lower percentage of free/reduced price lunch students.</w:t>
      </w:r>
    </w:p>
    <w:p w:rsidR="00F02794" w:rsidRPr="00F40195" w:rsidRDefault="00F02794" w:rsidP="008D674A">
      <w:pPr>
        <w:pStyle w:val="Heading3"/>
      </w:pPr>
      <w:bookmarkStart w:id="21" w:name="_Toc385250703"/>
      <w:bookmarkStart w:id="22" w:name="_Toc395180645"/>
      <w:r w:rsidRPr="00F40195">
        <w:t>Teachers</w:t>
      </w:r>
      <w:bookmarkEnd w:id="21"/>
      <w:bookmarkEnd w:id="22"/>
    </w:p>
    <w:p w:rsidR="00F02794" w:rsidRPr="00F40195" w:rsidRDefault="00F02794" w:rsidP="00F40195">
      <w:pPr>
        <w:pStyle w:val="ListParagraph"/>
        <w:widowControl w:val="0"/>
        <w:numPr>
          <w:ilvl w:val="0"/>
          <w:numId w:val="35"/>
        </w:numPr>
        <w:autoSpaceDE w:val="0"/>
        <w:autoSpaceDN w:val="0"/>
        <w:adjustRightInd w:val="0"/>
        <w:spacing w:after="240" w:line="240" w:lineRule="auto"/>
        <w:rPr>
          <w:rFonts w:cs="Times New Roman"/>
        </w:rPr>
      </w:pPr>
      <w:r w:rsidRPr="00F40195">
        <w:rPr>
          <w:rFonts w:cs="Times New Roman"/>
        </w:rPr>
        <w:t>In 2012-13 there were 42,022 full-time equivalent classroom teachers in the state of Kentucky – this was an increase of 1,360 teachers (3.3</w:t>
      </w:r>
      <w:r w:rsidR="00371FF9" w:rsidRPr="00F40195">
        <w:rPr>
          <w:rFonts w:cs="Times New Roman"/>
        </w:rPr>
        <w:t xml:space="preserve"> percent</w:t>
      </w:r>
      <w:r w:rsidRPr="00F40195">
        <w:rPr>
          <w:rFonts w:cs="Times New Roman"/>
        </w:rPr>
        <w:t>) over a ten-year time period.</w:t>
      </w:r>
    </w:p>
    <w:p w:rsidR="00F02794" w:rsidRPr="00F40195" w:rsidRDefault="00F02794" w:rsidP="00F40195">
      <w:pPr>
        <w:pStyle w:val="ListParagraph"/>
        <w:widowControl w:val="0"/>
        <w:numPr>
          <w:ilvl w:val="0"/>
          <w:numId w:val="35"/>
        </w:numPr>
        <w:autoSpaceDE w:val="0"/>
        <w:autoSpaceDN w:val="0"/>
        <w:adjustRightInd w:val="0"/>
        <w:spacing w:after="240" w:line="240" w:lineRule="auto"/>
        <w:rPr>
          <w:rFonts w:cs="Times New Roman"/>
        </w:rPr>
      </w:pPr>
      <w:r w:rsidRPr="00F40195">
        <w:rPr>
          <w:rFonts w:cs="Times New Roman"/>
        </w:rPr>
        <w:t>Kentucky’s pupil to classroom teacher ratio in 2012-13 was 15.8 to 1 – which was just below the national average of 15.9 to 1.</w:t>
      </w:r>
      <w:r w:rsidR="00956870">
        <w:rPr>
          <w:rFonts w:cs="Times New Roman"/>
        </w:rPr>
        <w:t xml:space="preserve">  </w:t>
      </w:r>
    </w:p>
    <w:p w:rsidR="00F02794" w:rsidRPr="00F40195" w:rsidRDefault="00F02794" w:rsidP="00F40195">
      <w:pPr>
        <w:pStyle w:val="ListParagraph"/>
        <w:widowControl w:val="0"/>
        <w:numPr>
          <w:ilvl w:val="0"/>
          <w:numId w:val="35"/>
        </w:numPr>
        <w:autoSpaceDE w:val="0"/>
        <w:autoSpaceDN w:val="0"/>
        <w:adjustRightInd w:val="0"/>
        <w:spacing w:after="240" w:line="240" w:lineRule="auto"/>
        <w:rPr>
          <w:rFonts w:cs="Times New Roman"/>
        </w:rPr>
      </w:pPr>
      <w:r w:rsidRPr="00F40195">
        <w:rPr>
          <w:rFonts w:cs="Times New Roman"/>
        </w:rPr>
        <w:t>The average teacher’s salary in Kentucky in 2012-13 was $50,326 - an increase of $10,086 (25.1</w:t>
      </w:r>
      <w:r w:rsidR="00371FF9" w:rsidRPr="00F40195">
        <w:rPr>
          <w:rFonts w:cs="Times New Roman"/>
        </w:rPr>
        <w:t xml:space="preserve"> percent</w:t>
      </w:r>
      <w:r w:rsidRPr="00F40195">
        <w:rPr>
          <w:rFonts w:cs="Times New Roman"/>
        </w:rPr>
        <w:t>) over the state’s 2003-04 average salaries.</w:t>
      </w:r>
    </w:p>
    <w:p w:rsidR="00F02794" w:rsidRPr="00F40195" w:rsidRDefault="00F02794" w:rsidP="00F40195">
      <w:pPr>
        <w:pStyle w:val="ListParagraph"/>
        <w:widowControl w:val="0"/>
        <w:numPr>
          <w:ilvl w:val="0"/>
          <w:numId w:val="35"/>
        </w:numPr>
        <w:autoSpaceDE w:val="0"/>
        <w:autoSpaceDN w:val="0"/>
        <w:adjustRightInd w:val="0"/>
        <w:spacing w:after="240" w:line="240" w:lineRule="auto"/>
        <w:rPr>
          <w:rFonts w:cs="Times New Roman"/>
        </w:rPr>
      </w:pPr>
      <w:r w:rsidRPr="00F40195">
        <w:rPr>
          <w:rFonts w:cs="Times New Roman"/>
        </w:rPr>
        <w:t>Kentucky’s average teacher salary in 2012-13 ranked 27</w:t>
      </w:r>
      <w:r w:rsidRPr="00F40195">
        <w:rPr>
          <w:rFonts w:cs="Times New Roman"/>
          <w:vertAlign w:val="superscript"/>
        </w:rPr>
        <w:t>th</w:t>
      </w:r>
      <w:r w:rsidRPr="00F40195">
        <w:rPr>
          <w:rFonts w:cs="Times New Roman"/>
        </w:rPr>
        <w:t xml:space="preserve"> highest and was $6,057 lower than the national average teacher salary.</w:t>
      </w:r>
      <w:r w:rsidR="00956870">
        <w:rPr>
          <w:rFonts w:cs="Times New Roman"/>
        </w:rPr>
        <w:t xml:space="preserve"> And the other states</w:t>
      </w:r>
      <w:r w:rsidR="008963DD">
        <w:rPr>
          <w:rFonts w:cs="Times New Roman"/>
        </w:rPr>
        <w:t>is this going to be completed?</w:t>
      </w:r>
    </w:p>
    <w:p w:rsidR="00F02794" w:rsidRPr="00F40195" w:rsidRDefault="00F02794" w:rsidP="008D674A">
      <w:pPr>
        <w:pStyle w:val="Heading3"/>
      </w:pPr>
      <w:bookmarkStart w:id="23" w:name="_Toc385250704"/>
      <w:bookmarkStart w:id="24" w:name="_Toc395180646"/>
      <w:r w:rsidRPr="00F40195">
        <w:t>Student Achievement</w:t>
      </w:r>
      <w:bookmarkEnd w:id="23"/>
      <w:bookmarkEnd w:id="24"/>
    </w:p>
    <w:p w:rsidR="00F02794" w:rsidRPr="00F40195" w:rsidRDefault="00F02794" w:rsidP="00F40195">
      <w:pPr>
        <w:pStyle w:val="ListParagraph"/>
        <w:widowControl w:val="0"/>
        <w:numPr>
          <w:ilvl w:val="0"/>
          <w:numId w:val="36"/>
        </w:numPr>
        <w:tabs>
          <w:tab w:val="left" w:pos="220"/>
          <w:tab w:val="left" w:pos="720"/>
        </w:tabs>
        <w:autoSpaceDE w:val="0"/>
        <w:autoSpaceDN w:val="0"/>
        <w:adjustRightInd w:val="0"/>
        <w:spacing w:after="320" w:line="240" w:lineRule="auto"/>
        <w:rPr>
          <w:rFonts w:cs="Times New Roman"/>
        </w:rPr>
      </w:pPr>
      <w:r w:rsidRPr="00F40195">
        <w:rPr>
          <w:rFonts w:cs="Times New Roman"/>
        </w:rPr>
        <w:t>Kentucky has a four-year high school graduation rate of 79.9</w:t>
      </w:r>
      <w:r w:rsidR="00371FF9" w:rsidRPr="00F40195">
        <w:rPr>
          <w:rFonts w:cs="Times New Roman"/>
        </w:rPr>
        <w:t xml:space="preserve"> percent</w:t>
      </w:r>
      <w:r w:rsidRPr="00F40195">
        <w:rPr>
          <w:rFonts w:cs="Times New Roman"/>
        </w:rPr>
        <w:t xml:space="preserve"> in 2009-10</w:t>
      </w:r>
      <w:r w:rsidR="00294D74" w:rsidRPr="00F40195">
        <w:rPr>
          <w:rFonts w:cs="Times New Roman"/>
        </w:rPr>
        <w:t>,</w:t>
      </w:r>
      <w:r w:rsidRPr="00F40195">
        <w:rPr>
          <w:rFonts w:cs="Times New Roman"/>
        </w:rPr>
        <w:t xml:space="preserve"> which ranks 23</w:t>
      </w:r>
      <w:r w:rsidRPr="00F40195">
        <w:rPr>
          <w:rFonts w:cs="Times New Roman"/>
          <w:vertAlign w:val="superscript"/>
        </w:rPr>
        <w:t>rd</w:t>
      </w:r>
      <w:r w:rsidRPr="00F40195">
        <w:rPr>
          <w:rFonts w:cs="Times New Roman"/>
        </w:rPr>
        <w:t xml:space="preserve"> nationally and is 1.7% above the national average.</w:t>
      </w:r>
      <w:r w:rsidR="00956870">
        <w:rPr>
          <w:rFonts w:cs="Times New Roman"/>
        </w:rPr>
        <w:t xml:space="preserve"> </w:t>
      </w:r>
    </w:p>
    <w:p w:rsidR="00F02794" w:rsidRPr="00F40195" w:rsidRDefault="00F02794" w:rsidP="00F40195">
      <w:pPr>
        <w:pStyle w:val="ListParagraph"/>
        <w:widowControl w:val="0"/>
        <w:numPr>
          <w:ilvl w:val="0"/>
          <w:numId w:val="36"/>
        </w:numPr>
        <w:tabs>
          <w:tab w:val="left" w:pos="220"/>
          <w:tab w:val="left" w:pos="720"/>
        </w:tabs>
        <w:autoSpaceDE w:val="0"/>
        <w:autoSpaceDN w:val="0"/>
        <w:adjustRightInd w:val="0"/>
        <w:spacing w:after="320" w:line="240" w:lineRule="auto"/>
        <w:rPr>
          <w:rFonts w:cs="Times New Roman"/>
        </w:rPr>
      </w:pPr>
      <w:r w:rsidRPr="00F40195">
        <w:rPr>
          <w:rFonts w:cs="Times New Roman"/>
        </w:rPr>
        <w:t>Kentucky’s scores on the National Assessment of Educational Progress (NAEP) exams in reading and math for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have been relatively flat since 2003. However, the state</w:t>
      </w:r>
      <w:r w:rsidR="00294D74" w:rsidRPr="00F40195">
        <w:rPr>
          <w:rFonts w:cs="Times New Roman"/>
        </w:rPr>
        <w:t>’</w:t>
      </w:r>
      <w:r w:rsidRPr="00F40195">
        <w:rPr>
          <w:rFonts w:cs="Times New Roman"/>
        </w:rPr>
        <w:t>s students have consistently scored above the national average in reading in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and in math in the 4</w:t>
      </w:r>
      <w:r w:rsidRPr="00F40195">
        <w:rPr>
          <w:rFonts w:cs="Times New Roman"/>
          <w:vertAlign w:val="superscript"/>
        </w:rPr>
        <w:t>th</w:t>
      </w:r>
      <w:r w:rsidRPr="00F40195">
        <w:rPr>
          <w:rFonts w:cs="Times New Roman"/>
        </w:rPr>
        <w:t xml:space="preserve"> </w:t>
      </w:r>
      <w:proofErr w:type="gramStart"/>
      <w:r w:rsidRPr="00F40195">
        <w:rPr>
          <w:rFonts w:cs="Times New Roman"/>
        </w:rPr>
        <w:t>grade</w:t>
      </w:r>
      <w:r w:rsidR="00D62460">
        <w:rPr>
          <w:rFonts w:cs="Times New Roman"/>
        </w:rPr>
        <w:t>,</w:t>
      </w:r>
      <w:proofErr w:type="gramEnd"/>
      <w:r w:rsidR="00D62460">
        <w:rPr>
          <w:rFonts w:cs="Times New Roman"/>
        </w:rPr>
        <w:t xml:space="preserve"> despite it’s greater than average poverty rate.</w:t>
      </w:r>
    </w:p>
    <w:p w:rsidR="00F02794" w:rsidRPr="00544A76" w:rsidRDefault="00F02794" w:rsidP="00EC6DF4">
      <w:pPr>
        <w:pStyle w:val="Heading3"/>
      </w:pPr>
      <w:bookmarkStart w:id="25" w:name="_Toc395180647"/>
      <w:bookmarkStart w:id="26" w:name="_Toc385250705"/>
      <w:r w:rsidRPr="00544A76">
        <w:t>E</w:t>
      </w:r>
      <w:r w:rsidR="00544A76" w:rsidRPr="00544A76">
        <w:t>ducational Funding Distribution Systems</w:t>
      </w:r>
      <w:bookmarkEnd w:id="25"/>
      <w:r w:rsidR="00544A76" w:rsidRPr="00544A76">
        <w:t xml:space="preserve"> </w:t>
      </w:r>
      <w:bookmarkEnd w:id="26"/>
    </w:p>
    <w:p w:rsidR="00F02794" w:rsidRPr="00F40195" w:rsidRDefault="00F02794" w:rsidP="00F40195">
      <w:pPr>
        <w:widowControl w:val="0"/>
        <w:tabs>
          <w:tab w:val="left" w:pos="220"/>
          <w:tab w:val="left" w:pos="720"/>
        </w:tabs>
        <w:autoSpaceDE w:val="0"/>
        <w:autoSpaceDN w:val="0"/>
        <w:adjustRightInd w:val="0"/>
        <w:spacing w:after="320" w:line="240" w:lineRule="auto"/>
        <w:rPr>
          <w:rFonts w:cs="Times New Roman"/>
          <w:color w:val="FF0000"/>
        </w:rPr>
      </w:pPr>
      <w:r w:rsidRPr="00F40195">
        <w:rPr>
          <w:rFonts w:cs="Times New Roman"/>
        </w:rPr>
        <w:t xml:space="preserve">Each of the 50 states employs a unique system for allocating funds to local education agencies. These systems are developed in various ways and take into account state specific political and historical factors. These factors include political decisions, fiscal constraints and judicial mandates. While each state’s funding system is unique, it is possible to place these funding systems into general categories for comparative purposes. A recent study by Deborah Verstegen (2011) at the University of Nevada, Reno put each of the 50 states’ systems into one of four general funding categories: </w:t>
      </w:r>
    </w:p>
    <w:p w:rsidR="00F02794" w:rsidRPr="00F40195" w:rsidRDefault="00F02794" w:rsidP="00F40195">
      <w:pPr>
        <w:pStyle w:val="ListParagraph"/>
        <w:widowControl w:val="0"/>
        <w:numPr>
          <w:ilvl w:val="0"/>
          <w:numId w:val="32"/>
        </w:numPr>
        <w:tabs>
          <w:tab w:val="left" w:pos="0"/>
          <w:tab w:val="left" w:pos="220"/>
        </w:tabs>
        <w:autoSpaceDE w:val="0"/>
        <w:autoSpaceDN w:val="0"/>
        <w:adjustRightInd w:val="0"/>
        <w:spacing w:after="320" w:line="240" w:lineRule="auto"/>
        <w:rPr>
          <w:rFonts w:cs="Times New Roman"/>
        </w:rPr>
      </w:pPr>
      <w:r w:rsidRPr="00F40195">
        <w:rPr>
          <w:rFonts w:cs="Times New Roman"/>
          <w:i/>
          <w:iCs/>
        </w:rPr>
        <w:t xml:space="preserve">Foundation formula </w:t>
      </w:r>
      <w:r w:rsidRPr="00F40195">
        <w:rPr>
          <w:rFonts w:cs="Times New Roman"/>
        </w:rPr>
        <w:t xml:space="preserve">(38 states) – Foundation formulas establish a guaranteed per pupil or per teacher funding level that is theoretically designed to pay for a basic or minimum education program. Local education agencies are required to contribute to the foundation amount - usually through a uniform tax rate. The state makes up the difference between local funding and the total foundation amount (for more details see Odden &amp; Picus, 2008). In some states this system is known as a base or guaranteed funding system. </w:t>
      </w:r>
    </w:p>
    <w:p w:rsidR="00F02794" w:rsidRPr="00F40195" w:rsidRDefault="00F02794" w:rsidP="00F40195">
      <w:pPr>
        <w:pStyle w:val="ListParagraph"/>
        <w:widowControl w:val="0"/>
        <w:numPr>
          <w:ilvl w:val="0"/>
          <w:numId w:val="32"/>
        </w:numPr>
        <w:tabs>
          <w:tab w:val="left" w:pos="0"/>
          <w:tab w:val="left" w:pos="220"/>
        </w:tabs>
        <w:autoSpaceDE w:val="0"/>
        <w:autoSpaceDN w:val="0"/>
        <w:adjustRightInd w:val="0"/>
        <w:spacing w:after="320" w:line="240" w:lineRule="auto"/>
        <w:rPr>
          <w:rFonts w:cs="Times New Roman"/>
        </w:rPr>
      </w:pPr>
      <w:r w:rsidRPr="00F40195">
        <w:rPr>
          <w:rFonts w:cs="Times New Roman"/>
          <w:i/>
          <w:iCs/>
        </w:rPr>
        <w:t xml:space="preserve">District power equalization </w:t>
      </w:r>
      <w:r w:rsidRPr="00F40195">
        <w:rPr>
          <w:rFonts w:cs="Times New Roman"/>
        </w:rPr>
        <w:t xml:space="preserve">(3 States) – District power equalization, frequently also called a </w:t>
      </w:r>
      <w:r w:rsidR="00D62460">
        <w:rPr>
          <w:rFonts w:cs="Times New Roman"/>
        </w:rPr>
        <w:t>G</w:t>
      </w:r>
      <w:r w:rsidRPr="00F40195">
        <w:rPr>
          <w:rFonts w:cs="Times New Roman"/>
        </w:rPr>
        <w:t xml:space="preserve">uaranteed </w:t>
      </w:r>
      <w:r w:rsidR="00D62460">
        <w:rPr>
          <w:rFonts w:cs="Times New Roman"/>
        </w:rPr>
        <w:t>T</w:t>
      </w:r>
      <w:r w:rsidRPr="00F40195">
        <w:rPr>
          <w:rFonts w:cs="Times New Roman"/>
        </w:rPr>
        <w:t xml:space="preserve">ax </w:t>
      </w:r>
      <w:r w:rsidR="00D62460">
        <w:rPr>
          <w:rFonts w:cs="Times New Roman"/>
        </w:rPr>
        <w:t>B</w:t>
      </w:r>
      <w:r w:rsidRPr="00F40195">
        <w:rPr>
          <w:rFonts w:cs="Times New Roman"/>
        </w:rPr>
        <w:t>ase</w:t>
      </w:r>
      <w:r w:rsidR="00D62460">
        <w:rPr>
          <w:rFonts w:cs="Times New Roman"/>
        </w:rPr>
        <w:t xml:space="preserve"> (GTB)</w:t>
      </w:r>
      <w:r w:rsidRPr="00F40195">
        <w:rPr>
          <w:rFonts w:cs="Times New Roman"/>
        </w:rPr>
        <w:t xml:space="preserve">, is designed to provide state funding matches to local educational agencies based on their relative wealth. Theoretically this type of formula functions by guaranteeing an equal tax base to every local education agency in </w:t>
      </w:r>
      <w:r w:rsidRPr="00F40195">
        <w:rPr>
          <w:rFonts w:cs="Times New Roman"/>
        </w:rPr>
        <w:lastRenderedPageBreak/>
        <w:t>the state. Verstegen (2011) assigns Vermont, Connecticut and Wisconsin to this category.</w:t>
      </w:r>
    </w:p>
    <w:p w:rsidR="00F02794" w:rsidRPr="00F40195" w:rsidRDefault="00F02794" w:rsidP="00F40195">
      <w:pPr>
        <w:pStyle w:val="ListParagraph"/>
        <w:widowControl w:val="0"/>
        <w:numPr>
          <w:ilvl w:val="0"/>
          <w:numId w:val="32"/>
        </w:numPr>
        <w:tabs>
          <w:tab w:val="left" w:pos="0"/>
          <w:tab w:val="left" w:pos="220"/>
        </w:tabs>
        <w:autoSpaceDE w:val="0"/>
        <w:autoSpaceDN w:val="0"/>
        <w:adjustRightInd w:val="0"/>
        <w:spacing w:after="320" w:line="240" w:lineRule="auto"/>
        <w:rPr>
          <w:rFonts w:cs="Times New Roman"/>
        </w:rPr>
      </w:pPr>
      <w:r w:rsidRPr="00F40195">
        <w:rPr>
          <w:rFonts w:cs="Times New Roman"/>
          <w:i/>
          <w:iCs/>
        </w:rPr>
        <w:t xml:space="preserve">Full state funding </w:t>
      </w:r>
      <w:r w:rsidRPr="00F40195">
        <w:rPr>
          <w:rFonts w:cs="Times New Roman"/>
        </w:rPr>
        <w:t>(1 state) – The state of Hawaii operates as a single school di</w:t>
      </w:r>
      <w:r w:rsidR="009B3120">
        <w:rPr>
          <w:rFonts w:cs="Times New Roman"/>
        </w:rPr>
        <w:t>strict, and because of this 100 percent</w:t>
      </w:r>
      <w:r w:rsidRPr="00F40195">
        <w:rPr>
          <w:rFonts w:cs="Times New Roman"/>
        </w:rPr>
        <w:t xml:space="preserve"> of school funding comes from state sources. </w:t>
      </w:r>
    </w:p>
    <w:p w:rsidR="00F02794" w:rsidRPr="00F40195" w:rsidRDefault="00F02794" w:rsidP="00F40195">
      <w:pPr>
        <w:pStyle w:val="ListParagraph"/>
        <w:widowControl w:val="0"/>
        <w:numPr>
          <w:ilvl w:val="0"/>
          <w:numId w:val="32"/>
        </w:numPr>
        <w:tabs>
          <w:tab w:val="left" w:pos="0"/>
          <w:tab w:val="left" w:pos="220"/>
        </w:tabs>
        <w:autoSpaceDE w:val="0"/>
        <w:autoSpaceDN w:val="0"/>
        <w:adjustRightInd w:val="0"/>
        <w:spacing w:after="320" w:line="240" w:lineRule="auto"/>
        <w:rPr>
          <w:rFonts w:cs="Times New Roman"/>
        </w:rPr>
      </w:pPr>
      <w:r w:rsidRPr="00F40195">
        <w:rPr>
          <w:rFonts w:cs="Times New Roman"/>
          <w:i/>
          <w:iCs/>
        </w:rPr>
        <w:t xml:space="preserve">Combination of formulas </w:t>
      </w:r>
      <w:r w:rsidRPr="00F40195">
        <w:rPr>
          <w:rFonts w:cs="Times New Roman"/>
        </w:rPr>
        <w:t>(8 states) – Eight states use a combination of a foundation formula, power equalization formula, flat grants and/or other types of funding methods. These systems are often referred to as two-tier or multi-tier systems. A common approach is a first tier foundation level followed by a second tier of optional funding supported through guaranteed tax base or percentage power equalization.</w:t>
      </w:r>
    </w:p>
    <w:p w:rsidR="00F02794" w:rsidRPr="00F40195" w:rsidRDefault="00CC79D7" w:rsidP="00F40195">
      <w:pPr>
        <w:widowControl w:val="0"/>
        <w:autoSpaceDE w:val="0"/>
        <w:autoSpaceDN w:val="0"/>
        <w:adjustRightInd w:val="0"/>
        <w:spacing w:after="240" w:line="240" w:lineRule="auto"/>
        <w:rPr>
          <w:rFonts w:cs="Times New Roman"/>
        </w:rPr>
      </w:pPr>
      <w:r>
        <w:rPr>
          <w:rFonts w:cs="Times New Roman"/>
        </w:rPr>
        <w:t>Note</w:t>
      </w:r>
      <w:r w:rsidR="00F02794" w:rsidRPr="00F40195">
        <w:rPr>
          <w:rFonts w:cs="Times New Roman"/>
        </w:rPr>
        <w:t xml:space="preserve"> that it can be difficult, bordering on impossible, to place each state’s funding system into a single category - Kentucky’s funding system is an example of this. This study defines the Kentucky system as using a foundation formula along with 37 other states. However, Kentucky like other states also makes use of </w:t>
      </w:r>
      <w:r w:rsidR="00037131">
        <w:rPr>
          <w:rFonts w:cs="Times New Roman"/>
        </w:rPr>
        <w:t>equalization program</w:t>
      </w:r>
      <w:r w:rsidR="00956870">
        <w:rPr>
          <w:rFonts w:cs="Times New Roman"/>
        </w:rPr>
        <w:t xml:space="preserve"> for tier two</w:t>
      </w:r>
      <w:r w:rsidR="00F02794" w:rsidRPr="00F40195">
        <w:rPr>
          <w:rFonts w:cs="Times New Roman"/>
        </w:rPr>
        <w:t>, flat grants and other methods to fund their schools</w:t>
      </w:r>
      <w:r w:rsidR="00037131">
        <w:rPr>
          <w:rFonts w:cs="Times New Roman"/>
        </w:rPr>
        <w:t>, essentially a Combination program (Foundation Program with a Guaranteed Tax Base</w:t>
      </w:r>
      <w:r w:rsidR="00283322">
        <w:rPr>
          <w:rFonts w:cs="Times New Roman"/>
        </w:rPr>
        <w:t>)</w:t>
      </w:r>
      <w:r w:rsidR="00F02794" w:rsidRPr="00F40195">
        <w:rPr>
          <w:rFonts w:cs="Times New Roman"/>
        </w:rPr>
        <w:t xml:space="preserve">. </w:t>
      </w:r>
      <w:r w:rsidR="00956870">
        <w:rPr>
          <w:rFonts w:cs="Times New Roman"/>
        </w:rPr>
        <w:t xml:space="preserve">  </w:t>
      </w:r>
    </w:p>
    <w:p w:rsidR="00F02794" w:rsidRPr="00F40195" w:rsidRDefault="00F02794" w:rsidP="008D674A">
      <w:pPr>
        <w:pStyle w:val="Heading3"/>
      </w:pPr>
      <w:bookmarkStart w:id="27" w:name="_Toc385250706"/>
      <w:bookmarkStart w:id="28" w:name="_Toc395180648"/>
      <w:r w:rsidRPr="00F40195">
        <w:t>Funding Special Student Populations</w:t>
      </w:r>
      <w:bookmarkEnd w:id="27"/>
      <w:bookmarkEnd w:id="28"/>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States often provide supplementary funding to local school districts for certain student populations that may require additional resources to meet their educational needs. This can include students enrolled in special education, students who are identified as at- risk or low income, and English learners. Forty-nine states provide additional funding for special education students – Rhode Island is the only exception. Thirty-four states provide additional funding for at-risk student populations – usually defined as low-income students who qualify for free/reduced priced lunch programs. Thirty-seven states provide additional funds for educating students who do not speak English as their first language. </w:t>
      </w:r>
    </w:p>
    <w:p w:rsidR="00F02794" w:rsidRPr="00F40195" w:rsidRDefault="00F02794" w:rsidP="008D674A">
      <w:pPr>
        <w:pStyle w:val="Heading3"/>
      </w:pPr>
      <w:bookmarkStart w:id="29" w:name="_Toc385250707"/>
      <w:bookmarkStart w:id="30" w:name="_Toc395180649"/>
      <w:r w:rsidRPr="00F40195">
        <w:t>Education Funding Systems in Comparative States</w:t>
      </w:r>
      <w:bookmarkEnd w:id="29"/>
      <w:bookmarkEnd w:id="30"/>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shd w:val="clear" w:color="auto" w:fill="FFFFFF" w:themeFill="background1"/>
        </w:rPr>
        <w:t xml:space="preserve">Our research has found that Kentucky’s education funding system relies on a variation of a foundation formula that provides additional funding for special education, at-risk and </w:t>
      </w:r>
      <w:r w:rsidR="0008084C" w:rsidRPr="00F40195">
        <w:rPr>
          <w:rFonts w:cs="Times New Roman"/>
          <w:shd w:val="clear" w:color="auto" w:fill="FFFFFF" w:themeFill="background1"/>
        </w:rPr>
        <w:t>E</w:t>
      </w:r>
      <w:r w:rsidR="0061351D">
        <w:rPr>
          <w:rFonts w:cs="Times New Roman"/>
          <w:shd w:val="clear" w:color="auto" w:fill="FFFFFF" w:themeFill="background1"/>
        </w:rPr>
        <w:t>nglish learners</w:t>
      </w:r>
      <w:r w:rsidRPr="00F40195">
        <w:rPr>
          <w:rFonts w:cs="Times New Roman"/>
          <w:shd w:val="clear" w:color="auto" w:fill="FFFFFF" w:themeFill="background1"/>
        </w:rPr>
        <w:t>.</w:t>
      </w:r>
      <w:r w:rsidRPr="00F40195">
        <w:rPr>
          <w:rFonts w:cs="Times New Roman"/>
        </w:rPr>
        <w:t xml:space="preserve"> In Kentucky special education funding is provided to districts by weighting students in the formula. A student’s additional weight is based on the definition of their disability - low incidence disabilities receive an additional weight of 2.35, moderate incidence disabilities are weighted at 1.17, and high incidence disabilities receive an additional weight of 0.24 (</w:t>
      </w:r>
      <w:r w:rsidRPr="00F40195">
        <w:rPr>
          <w:rFonts w:cs="Times New Roman"/>
          <w:i/>
        </w:rPr>
        <w:t>Kentucky Revised Statutes – 157.200</w:t>
      </w:r>
      <w:r w:rsidRPr="00F40195">
        <w:rPr>
          <w:rFonts w:cs="Times New Roman"/>
        </w:rPr>
        <w:t>).  Students who qualify for free lunch under the federal program receive an additional weight of 0.15 and students who have limited English proficiency receive an additional weight of 0.096. These weights are applied against the “foundation” level in KY. The approach used by Kentucky and each of the comparative states is summarized in Table 2.1. Important comparisons from this table include:</w:t>
      </w:r>
    </w:p>
    <w:p w:rsidR="00F02794" w:rsidRPr="00F40195" w:rsidRDefault="00F02794" w:rsidP="00F40195">
      <w:pPr>
        <w:pStyle w:val="ListParagraph"/>
        <w:widowControl w:val="0"/>
        <w:numPr>
          <w:ilvl w:val="0"/>
          <w:numId w:val="37"/>
        </w:numPr>
        <w:autoSpaceDE w:val="0"/>
        <w:autoSpaceDN w:val="0"/>
        <w:adjustRightInd w:val="0"/>
        <w:spacing w:after="240" w:line="240" w:lineRule="auto"/>
        <w:rPr>
          <w:rFonts w:cs="Times New Roman"/>
        </w:rPr>
      </w:pPr>
      <w:r w:rsidRPr="00F40195">
        <w:rPr>
          <w:rFonts w:cs="Times New Roman"/>
        </w:rPr>
        <w:t xml:space="preserve">All 7 comparative states use a variation of a foundation formula to distribute funding to school districts. </w:t>
      </w:r>
    </w:p>
    <w:p w:rsidR="00F02794" w:rsidRPr="00F40195" w:rsidRDefault="00F02794" w:rsidP="00F40195">
      <w:pPr>
        <w:pStyle w:val="ListParagraph"/>
        <w:widowControl w:val="0"/>
        <w:numPr>
          <w:ilvl w:val="0"/>
          <w:numId w:val="37"/>
        </w:numPr>
        <w:autoSpaceDE w:val="0"/>
        <w:autoSpaceDN w:val="0"/>
        <w:adjustRightInd w:val="0"/>
        <w:spacing w:after="240" w:line="240" w:lineRule="auto"/>
        <w:rPr>
          <w:rFonts w:cs="Times New Roman"/>
        </w:rPr>
      </w:pPr>
      <w:r w:rsidRPr="00F40195">
        <w:rPr>
          <w:rFonts w:cs="Times New Roman"/>
        </w:rPr>
        <w:t>While their systems may vary, all seven comparative states provide additional funding for special education and at-risk students.</w:t>
      </w:r>
    </w:p>
    <w:p w:rsidR="00F02794" w:rsidRPr="00F40195" w:rsidRDefault="00F02794" w:rsidP="00F40195">
      <w:pPr>
        <w:pStyle w:val="ListParagraph"/>
        <w:widowControl w:val="0"/>
        <w:numPr>
          <w:ilvl w:val="0"/>
          <w:numId w:val="37"/>
        </w:numPr>
        <w:autoSpaceDE w:val="0"/>
        <w:autoSpaceDN w:val="0"/>
        <w:adjustRightInd w:val="0"/>
        <w:spacing w:after="240" w:line="240" w:lineRule="auto"/>
        <w:rPr>
          <w:rFonts w:cs="Times New Roman"/>
        </w:rPr>
      </w:pPr>
      <w:r w:rsidRPr="00F40195">
        <w:rPr>
          <w:rFonts w:cs="Times New Roman"/>
        </w:rPr>
        <w:lastRenderedPageBreak/>
        <w:t>Of the seven comparative states only West Virginia does not provide additional funding for English learner</w:t>
      </w:r>
      <w:r w:rsidR="0008084C" w:rsidRPr="00F40195">
        <w:rPr>
          <w:rFonts w:cs="Times New Roman"/>
        </w:rPr>
        <w:t>s</w:t>
      </w:r>
      <w:r w:rsidRPr="00F40195">
        <w:rPr>
          <w:rFonts w:cs="Times New Roman"/>
        </w:rPr>
        <w:t xml:space="preserve">. </w:t>
      </w:r>
    </w:p>
    <w:p w:rsidR="00F02794" w:rsidRPr="00F40195" w:rsidRDefault="00F02794" w:rsidP="00F40195">
      <w:pPr>
        <w:pStyle w:val="ListParagraph"/>
        <w:widowControl w:val="0"/>
        <w:numPr>
          <w:ilvl w:val="0"/>
          <w:numId w:val="37"/>
        </w:numPr>
        <w:autoSpaceDE w:val="0"/>
        <w:autoSpaceDN w:val="0"/>
        <w:adjustRightInd w:val="0"/>
        <w:spacing w:after="240" w:line="240" w:lineRule="auto"/>
        <w:rPr>
          <w:rFonts w:cs="Times New Roman"/>
        </w:rPr>
      </w:pPr>
      <w:r w:rsidRPr="00F40195">
        <w:rPr>
          <w:rFonts w:cs="Times New Roman"/>
        </w:rPr>
        <w:t xml:space="preserve">Six of the 7 comparative states provide districts with additional funding for student transportation – Arkansas is the only exception. Indiana, Tennessee and West Virginia provide transportation funding through their state’s primary funding formula and Alabama, Missouri and Ohio provide funding through a system of allowable reimbursements. </w:t>
      </w:r>
    </w:p>
    <w:p w:rsidR="00F02794" w:rsidRPr="00F40195" w:rsidRDefault="00F02794" w:rsidP="00F40195">
      <w:pPr>
        <w:pStyle w:val="ListParagraph"/>
        <w:widowControl w:val="0"/>
        <w:numPr>
          <w:ilvl w:val="0"/>
          <w:numId w:val="37"/>
        </w:numPr>
        <w:autoSpaceDE w:val="0"/>
        <w:autoSpaceDN w:val="0"/>
        <w:adjustRightInd w:val="0"/>
        <w:spacing w:after="240" w:line="240" w:lineRule="auto"/>
        <w:rPr>
          <w:rFonts w:cs="Times New Roman"/>
        </w:rPr>
      </w:pPr>
      <w:r w:rsidRPr="00F40195">
        <w:rPr>
          <w:rFonts w:cs="Times New Roman"/>
        </w:rPr>
        <w:t>Three comparative states (Indiana, Missouri and West Virginia) provide no funding to school districts for capital projects. Arkansas and Ohio provide funding for capital projects through approved grants, Tennessee funds capital projects through the state’s funding formula and Alabama provides districts with grants to help cover the cost of debt service payments.</w:t>
      </w:r>
    </w:p>
    <w:p w:rsidR="00F02794" w:rsidRPr="00F40195" w:rsidRDefault="00F02794" w:rsidP="00F40195">
      <w:pPr>
        <w:spacing w:line="240" w:lineRule="auto"/>
        <w:rPr>
          <w:rFonts w:cs="Times New Roman"/>
        </w:rPr>
      </w:pPr>
      <w:r w:rsidRPr="00F40195">
        <w:rPr>
          <w:rFonts w:cs="Times New Roman"/>
        </w:rPr>
        <w:br w:type="page"/>
      </w:r>
    </w:p>
    <w:p w:rsidR="00F02794" w:rsidRPr="00F40195" w:rsidRDefault="00F02794" w:rsidP="00F40195">
      <w:pPr>
        <w:pStyle w:val="PlainText"/>
        <w:rPr>
          <w:rFonts w:ascii="Times New Roman" w:hAnsi="Times New Roman" w:cs="Times New Roman"/>
        </w:rPr>
      </w:pPr>
      <w:r w:rsidRPr="00F40195">
        <w:rPr>
          <w:rFonts w:ascii="Times New Roman" w:hAnsi="Times New Roman" w:cs="Times New Roman"/>
          <w:b/>
          <w:i w:val="0"/>
          <w:sz w:val="24"/>
          <w:szCs w:val="24"/>
        </w:rPr>
        <w:lastRenderedPageBreak/>
        <w:t xml:space="preserve">Table 2.1:  Summary of Education Funding Systems </w:t>
      </w:r>
      <w:r w:rsidR="00901CFB" w:rsidRPr="00F40195">
        <w:rPr>
          <w:rFonts w:ascii="Times New Roman" w:hAnsi="Times New Roman" w:cs="Times New Roman"/>
          <w:b/>
          <w:i w:val="0"/>
          <w:sz w:val="24"/>
          <w:szCs w:val="24"/>
        </w:rPr>
        <w:t>a</w:t>
      </w:r>
      <w:r w:rsidRPr="00F40195">
        <w:rPr>
          <w:rFonts w:ascii="Times New Roman" w:hAnsi="Times New Roman" w:cs="Times New Roman"/>
          <w:b/>
          <w:i w:val="0"/>
          <w:sz w:val="24"/>
          <w:szCs w:val="24"/>
        </w:rPr>
        <w:t>cross Comparative States</w:t>
      </w:r>
    </w:p>
    <w:tbl>
      <w:tblPr>
        <w:tblStyle w:val="TableGrid"/>
        <w:tblW w:w="9990" w:type="dxa"/>
        <w:tblInd w:w="-522" w:type="dxa"/>
        <w:tblLayout w:type="fixed"/>
        <w:tblLook w:val="04A0" w:firstRow="1" w:lastRow="0" w:firstColumn="1" w:lastColumn="0" w:noHBand="0" w:noVBand="1"/>
      </w:tblPr>
      <w:tblGrid>
        <w:gridCol w:w="1169"/>
        <w:gridCol w:w="1981"/>
        <w:gridCol w:w="1273"/>
        <w:gridCol w:w="2873"/>
        <w:gridCol w:w="2694"/>
      </w:tblGrid>
      <w:tr w:rsidR="00F02794" w:rsidRPr="00F40195" w:rsidTr="00E2519A">
        <w:tc>
          <w:tcPr>
            <w:tcW w:w="1169" w:type="dxa"/>
            <w:tcBorders>
              <w:bottom w:val="single" w:sz="4" w:space="0" w:color="auto"/>
            </w:tcBorders>
            <w:vAlign w:val="bottom"/>
          </w:tcPr>
          <w:p w:rsidR="00F02794" w:rsidRPr="00F40195" w:rsidRDefault="00F02794" w:rsidP="00F40195">
            <w:pPr>
              <w:pStyle w:val="PlainText"/>
              <w:jc w:val="center"/>
              <w:rPr>
                <w:rFonts w:ascii="Times New Roman" w:hAnsi="Times New Roman"/>
                <w:b/>
                <w:i w:val="0"/>
                <w:sz w:val="24"/>
                <w:szCs w:val="24"/>
              </w:rPr>
            </w:pPr>
            <w:r w:rsidRPr="00F40195">
              <w:rPr>
                <w:rFonts w:ascii="Times New Roman" w:hAnsi="Times New Roman"/>
                <w:b/>
                <w:i w:val="0"/>
                <w:sz w:val="24"/>
                <w:szCs w:val="24"/>
              </w:rPr>
              <w:t>State</w:t>
            </w:r>
          </w:p>
        </w:tc>
        <w:tc>
          <w:tcPr>
            <w:tcW w:w="1981" w:type="dxa"/>
            <w:tcBorders>
              <w:bottom w:val="single" w:sz="4" w:space="0" w:color="auto"/>
            </w:tcBorders>
            <w:vAlign w:val="bottom"/>
          </w:tcPr>
          <w:p w:rsidR="00F02794" w:rsidRPr="00F40195" w:rsidRDefault="00F02794" w:rsidP="00F40195">
            <w:pPr>
              <w:pStyle w:val="PlainText"/>
              <w:jc w:val="center"/>
              <w:rPr>
                <w:rFonts w:ascii="Times New Roman" w:hAnsi="Times New Roman"/>
                <w:b/>
                <w:i w:val="0"/>
                <w:sz w:val="24"/>
                <w:szCs w:val="24"/>
              </w:rPr>
            </w:pPr>
            <w:r w:rsidRPr="00F40195">
              <w:rPr>
                <w:rFonts w:ascii="Times New Roman" w:hAnsi="Times New Roman"/>
                <w:b/>
                <w:i w:val="0"/>
                <w:sz w:val="24"/>
                <w:szCs w:val="24"/>
              </w:rPr>
              <w:t>Funding Formula</w:t>
            </w:r>
          </w:p>
        </w:tc>
        <w:tc>
          <w:tcPr>
            <w:tcW w:w="1273" w:type="dxa"/>
            <w:tcBorders>
              <w:bottom w:val="single" w:sz="4" w:space="0" w:color="auto"/>
            </w:tcBorders>
            <w:vAlign w:val="bottom"/>
          </w:tcPr>
          <w:p w:rsidR="00F02794" w:rsidRPr="00F40195" w:rsidRDefault="00F02794" w:rsidP="00F40195">
            <w:pPr>
              <w:pStyle w:val="PlainText"/>
              <w:jc w:val="center"/>
              <w:rPr>
                <w:rFonts w:ascii="Times New Roman" w:hAnsi="Times New Roman"/>
                <w:b/>
                <w:i w:val="0"/>
                <w:sz w:val="24"/>
                <w:szCs w:val="24"/>
              </w:rPr>
            </w:pPr>
            <w:r w:rsidRPr="00F40195">
              <w:rPr>
                <w:rFonts w:ascii="Times New Roman" w:hAnsi="Times New Roman"/>
                <w:b/>
                <w:i w:val="0"/>
                <w:sz w:val="24"/>
                <w:szCs w:val="24"/>
              </w:rPr>
              <w:t>Special Education Formula</w:t>
            </w:r>
          </w:p>
        </w:tc>
        <w:tc>
          <w:tcPr>
            <w:tcW w:w="2873" w:type="dxa"/>
            <w:tcBorders>
              <w:bottom w:val="single" w:sz="4" w:space="0" w:color="auto"/>
            </w:tcBorders>
            <w:vAlign w:val="bottom"/>
          </w:tcPr>
          <w:p w:rsidR="00F02794" w:rsidRPr="00F40195" w:rsidRDefault="00F02794" w:rsidP="00F40195">
            <w:pPr>
              <w:pStyle w:val="PlainText"/>
              <w:jc w:val="center"/>
              <w:rPr>
                <w:rFonts w:ascii="Times New Roman" w:hAnsi="Times New Roman"/>
                <w:b/>
                <w:i w:val="0"/>
                <w:sz w:val="24"/>
                <w:szCs w:val="24"/>
              </w:rPr>
            </w:pPr>
            <w:r w:rsidRPr="00F40195">
              <w:rPr>
                <w:rFonts w:ascii="Times New Roman" w:hAnsi="Times New Roman"/>
                <w:b/>
                <w:i w:val="0"/>
                <w:sz w:val="24"/>
                <w:szCs w:val="24"/>
              </w:rPr>
              <w:t>At-Risk Formula</w:t>
            </w:r>
          </w:p>
        </w:tc>
        <w:tc>
          <w:tcPr>
            <w:tcW w:w="2694" w:type="dxa"/>
            <w:tcBorders>
              <w:bottom w:val="single" w:sz="4" w:space="0" w:color="auto"/>
            </w:tcBorders>
            <w:vAlign w:val="bottom"/>
          </w:tcPr>
          <w:p w:rsidR="00F02794" w:rsidRPr="00F40195" w:rsidRDefault="00F02794" w:rsidP="00F40195">
            <w:pPr>
              <w:pStyle w:val="PlainText"/>
              <w:jc w:val="center"/>
              <w:rPr>
                <w:rFonts w:ascii="Times New Roman" w:hAnsi="Times New Roman"/>
                <w:b/>
                <w:i w:val="0"/>
                <w:sz w:val="24"/>
                <w:szCs w:val="24"/>
              </w:rPr>
            </w:pPr>
            <w:r w:rsidRPr="00F40195">
              <w:rPr>
                <w:rFonts w:ascii="Times New Roman" w:hAnsi="Times New Roman"/>
                <w:b/>
                <w:i w:val="0"/>
                <w:sz w:val="24"/>
                <w:szCs w:val="24"/>
              </w:rPr>
              <w:t xml:space="preserve"> Limited English </w:t>
            </w:r>
            <w:r w:rsidR="00F71841" w:rsidRPr="00F40195">
              <w:rPr>
                <w:rFonts w:ascii="Times New Roman" w:hAnsi="Times New Roman"/>
                <w:b/>
                <w:i w:val="0"/>
                <w:sz w:val="24"/>
                <w:szCs w:val="24"/>
              </w:rPr>
              <w:t>Proficiency</w:t>
            </w:r>
            <w:r w:rsidRPr="00F40195">
              <w:rPr>
                <w:rFonts w:ascii="Times New Roman" w:hAnsi="Times New Roman"/>
                <w:b/>
                <w:i w:val="0"/>
                <w:sz w:val="24"/>
                <w:szCs w:val="24"/>
              </w:rPr>
              <w:t xml:space="preserve"> Formula</w:t>
            </w:r>
          </w:p>
        </w:tc>
      </w:tr>
      <w:tr w:rsidR="00F02794" w:rsidRPr="00F40195" w:rsidTr="00E2519A">
        <w:trPr>
          <w:trHeight w:val="782"/>
        </w:trPr>
        <w:tc>
          <w:tcPr>
            <w:tcW w:w="1169"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Kentucky</w:t>
            </w:r>
          </w:p>
        </w:tc>
        <w:tc>
          <w:tcPr>
            <w:tcW w:w="1981" w:type="dxa"/>
            <w:shd w:val="clear" w:color="auto" w:fill="FFFFFF" w:themeFill="background1"/>
            <w:vAlign w:val="center"/>
          </w:tcPr>
          <w:p w:rsidR="00F02794"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p w:rsidR="00956870" w:rsidRPr="00F40195" w:rsidRDefault="00F26F5C" w:rsidP="00F26F5C">
            <w:pPr>
              <w:pStyle w:val="PlainText"/>
              <w:jc w:val="center"/>
              <w:rPr>
                <w:rFonts w:ascii="Times New Roman" w:hAnsi="Times New Roman"/>
                <w:i w:val="0"/>
                <w:sz w:val="22"/>
                <w:szCs w:val="22"/>
              </w:rPr>
            </w:pPr>
            <w:r>
              <w:rPr>
                <w:rFonts w:ascii="Times New Roman" w:hAnsi="Times New Roman"/>
                <w:i w:val="0"/>
                <w:sz w:val="22"/>
                <w:szCs w:val="22"/>
              </w:rPr>
              <w:t xml:space="preserve"> w</w:t>
            </w:r>
            <w:r w:rsidR="00956870">
              <w:rPr>
                <w:rFonts w:ascii="Times New Roman" w:hAnsi="Times New Roman"/>
                <w:i w:val="0"/>
                <w:sz w:val="22"/>
                <w:szCs w:val="22"/>
              </w:rPr>
              <w:t>ith GTB in Tier 2</w:t>
            </w:r>
            <w:r w:rsidR="00431040">
              <w:rPr>
                <w:rFonts w:ascii="Times New Roman" w:hAnsi="Times New Roman"/>
                <w:i w:val="0"/>
                <w:sz w:val="22"/>
                <w:szCs w:val="22"/>
              </w:rPr>
              <w:t xml:space="preserve"> and </w:t>
            </w:r>
            <w:r>
              <w:rPr>
                <w:rFonts w:ascii="Times New Roman" w:hAnsi="Times New Roman"/>
                <w:i w:val="0"/>
                <w:sz w:val="22"/>
                <w:szCs w:val="22"/>
              </w:rPr>
              <w:t>u</w:t>
            </w:r>
            <w:r w:rsidR="00431040">
              <w:rPr>
                <w:rFonts w:ascii="Times New Roman" w:hAnsi="Times New Roman"/>
                <w:i w:val="0"/>
                <w:sz w:val="22"/>
                <w:szCs w:val="22"/>
              </w:rPr>
              <w:t>nequalized 3</w:t>
            </w:r>
            <w:r w:rsidR="00431040" w:rsidRPr="0030434D">
              <w:rPr>
                <w:rFonts w:ascii="Times New Roman" w:hAnsi="Times New Roman"/>
                <w:i w:val="0"/>
                <w:sz w:val="22"/>
                <w:szCs w:val="22"/>
                <w:vertAlign w:val="superscript"/>
              </w:rPr>
              <w:t>rd</w:t>
            </w:r>
            <w:r w:rsidR="00431040">
              <w:rPr>
                <w:rFonts w:ascii="Times New Roman" w:hAnsi="Times New Roman"/>
                <w:i w:val="0"/>
                <w:sz w:val="22"/>
                <w:szCs w:val="22"/>
              </w:rPr>
              <w:t xml:space="preserve"> tier </w:t>
            </w:r>
          </w:p>
        </w:tc>
        <w:tc>
          <w:tcPr>
            <w:tcW w:w="1273"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Per Pupil Weight</w:t>
            </w:r>
          </w:p>
        </w:tc>
        <w:tc>
          <w:tcPr>
            <w:tcW w:w="2873"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Students who qualify for free lunch receive an additional weight of 0.15</w:t>
            </w:r>
          </w:p>
        </w:tc>
        <w:tc>
          <w:tcPr>
            <w:tcW w:w="2694"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 xml:space="preserve">Identified students receive an additional weight </w:t>
            </w:r>
            <w:r w:rsidR="00F71841" w:rsidRPr="00F40195">
              <w:rPr>
                <w:rFonts w:ascii="Times New Roman" w:hAnsi="Times New Roman"/>
                <w:i w:val="0"/>
                <w:sz w:val="22"/>
                <w:szCs w:val="22"/>
              </w:rPr>
              <w:t xml:space="preserve">of </w:t>
            </w:r>
            <w:r w:rsidRPr="00F40195">
              <w:rPr>
                <w:rFonts w:ascii="Times New Roman" w:hAnsi="Times New Roman"/>
                <w:i w:val="0"/>
                <w:sz w:val="22"/>
                <w:szCs w:val="22"/>
              </w:rPr>
              <w:t>0.096</w:t>
            </w:r>
          </w:p>
        </w:tc>
      </w:tr>
      <w:tr w:rsidR="00F02794" w:rsidRPr="00F40195" w:rsidTr="00E2519A">
        <w:trPr>
          <w:trHeight w:val="557"/>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Alabama</w:t>
            </w:r>
          </w:p>
        </w:tc>
        <w:tc>
          <w:tcPr>
            <w:tcW w:w="1981"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tc>
        <w:tc>
          <w:tcPr>
            <w:tcW w:w="12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Census</w:t>
            </w:r>
          </w:p>
        </w:tc>
        <w:tc>
          <w:tcPr>
            <w:tcW w:w="2873"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At-risk students are identified by their scores on the state’s standardized tests. Each At-risk student receives an additional $100</w:t>
            </w:r>
          </w:p>
        </w:tc>
        <w:tc>
          <w:tcPr>
            <w:tcW w:w="2694"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Students who qualify for ELL services receive at-risk funding</w:t>
            </w:r>
          </w:p>
        </w:tc>
      </w:tr>
      <w:tr w:rsidR="00F02794" w:rsidRPr="00F40195" w:rsidTr="00E2519A">
        <w:trPr>
          <w:trHeight w:val="557"/>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Arkansas</w:t>
            </w:r>
          </w:p>
        </w:tc>
        <w:tc>
          <w:tcPr>
            <w:tcW w:w="1981"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tc>
        <w:tc>
          <w:tcPr>
            <w:tcW w:w="12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Cost Reimbursement</w:t>
            </w:r>
          </w:p>
        </w:tc>
        <w:tc>
          <w:tcPr>
            <w:tcW w:w="28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Districts receive additional funding based on a three tiered system of density</w:t>
            </w:r>
          </w:p>
        </w:tc>
        <w:tc>
          <w:tcPr>
            <w:tcW w:w="2694"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An additional $195 per identified student</w:t>
            </w:r>
          </w:p>
        </w:tc>
      </w:tr>
      <w:tr w:rsidR="00F02794" w:rsidRPr="00F40195" w:rsidTr="00E2519A">
        <w:trPr>
          <w:trHeight w:val="530"/>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Indiana</w:t>
            </w:r>
          </w:p>
        </w:tc>
        <w:tc>
          <w:tcPr>
            <w:tcW w:w="1981"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tc>
        <w:tc>
          <w:tcPr>
            <w:tcW w:w="12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Cost Reimbursement</w:t>
            </w:r>
          </w:p>
        </w:tc>
        <w:tc>
          <w:tcPr>
            <w:tcW w:w="28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rPr>
              <w:t>At-risk students receive an additional weight of</w:t>
            </w:r>
            <w:r w:rsidR="00F71841" w:rsidRPr="00F40195">
              <w:rPr>
                <w:rFonts w:ascii="Times New Roman" w:hAnsi="Times New Roman"/>
                <w:i w:val="0"/>
              </w:rPr>
              <w:t xml:space="preserve"> 0</w:t>
            </w:r>
            <w:r w:rsidRPr="00F40195">
              <w:rPr>
                <w:rFonts w:ascii="Times New Roman" w:hAnsi="Times New Roman"/>
                <w:i w:val="0"/>
              </w:rPr>
              <w:t xml:space="preserve">.4972 in 2013. The state also provides additional funding to districts with a high </w:t>
            </w:r>
            <w:r w:rsidR="00371FF9" w:rsidRPr="00F40195">
              <w:rPr>
                <w:rFonts w:ascii="Times New Roman" w:hAnsi="Times New Roman"/>
                <w:i w:val="0"/>
              </w:rPr>
              <w:t>percentage</w:t>
            </w:r>
            <w:r w:rsidRPr="00F40195">
              <w:rPr>
                <w:rFonts w:ascii="Times New Roman" w:hAnsi="Times New Roman"/>
                <w:i w:val="0"/>
              </w:rPr>
              <w:t xml:space="preserve"> of at-risk students.</w:t>
            </w:r>
          </w:p>
        </w:tc>
        <w:tc>
          <w:tcPr>
            <w:tcW w:w="2694"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Identified students receive an additional weight 0.22</w:t>
            </w:r>
          </w:p>
        </w:tc>
      </w:tr>
      <w:tr w:rsidR="00F02794" w:rsidRPr="00F40195" w:rsidTr="00E2519A">
        <w:trPr>
          <w:trHeight w:val="530"/>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Missouri</w:t>
            </w:r>
          </w:p>
        </w:tc>
        <w:tc>
          <w:tcPr>
            <w:tcW w:w="1981" w:type="dxa"/>
            <w:vAlign w:val="center"/>
          </w:tcPr>
          <w:p w:rsidR="00F02794"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p w:rsidR="00956870" w:rsidRPr="00F40195" w:rsidRDefault="00283322" w:rsidP="00C01F05">
            <w:pPr>
              <w:pStyle w:val="PlainText"/>
              <w:jc w:val="center"/>
              <w:rPr>
                <w:rFonts w:ascii="Times New Roman" w:hAnsi="Times New Roman"/>
                <w:i w:val="0"/>
                <w:sz w:val="22"/>
                <w:szCs w:val="22"/>
              </w:rPr>
            </w:pPr>
            <w:proofErr w:type="gramStart"/>
            <w:r w:rsidRPr="00C01F05">
              <w:rPr>
                <w:rFonts w:ascii="Times New Roman" w:hAnsi="Times New Roman"/>
                <w:i w:val="0"/>
                <w:sz w:val="22"/>
                <w:szCs w:val="22"/>
              </w:rPr>
              <w:t>with</w:t>
            </w:r>
            <w:proofErr w:type="gramEnd"/>
            <w:r w:rsidRPr="00C01F05">
              <w:rPr>
                <w:rFonts w:ascii="Times New Roman" w:hAnsi="Times New Roman"/>
                <w:i w:val="0"/>
                <w:sz w:val="22"/>
                <w:szCs w:val="22"/>
              </w:rPr>
              <w:t xml:space="preserve"> a</w:t>
            </w:r>
            <w:r w:rsidR="00956870" w:rsidRPr="00C01F05">
              <w:rPr>
                <w:rFonts w:ascii="Times New Roman" w:hAnsi="Times New Roman"/>
                <w:i w:val="0"/>
                <w:sz w:val="22"/>
                <w:szCs w:val="22"/>
              </w:rPr>
              <w:t xml:space="preserve"> </w:t>
            </w:r>
            <w:r w:rsidR="00C01F05">
              <w:rPr>
                <w:rFonts w:ascii="Times New Roman" w:hAnsi="Times New Roman"/>
                <w:i w:val="0"/>
                <w:sz w:val="22"/>
                <w:szCs w:val="22"/>
              </w:rPr>
              <w:t xml:space="preserve">Guaranteed Tax Base </w:t>
            </w:r>
            <w:r w:rsidR="00956870" w:rsidRPr="00C01F05">
              <w:rPr>
                <w:rFonts w:ascii="Times New Roman" w:hAnsi="Times New Roman"/>
                <w:i w:val="0"/>
                <w:sz w:val="22"/>
                <w:szCs w:val="22"/>
              </w:rPr>
              <w:t xml:space="preserve"> for Tier 2</w:t>
            </w:r>
            <w:r w:rsidR="00C01F05">
              <w:rPr>
                <w:rFonts w:ascii="Times New Roman" w:hAnsi="Times New Roman"/>
                <w:i w:val="0"/>
                <w:sz w:val="22"/>
                <w:szCs w:val="22"/>
              </w:rPr>
              <w:t xml:space="preserve"> (a Combination Program)</w:t>
            </w:r>
            <w:r w:rsidRPr="00C01F05">
              <w:rPr>
                <w:rFonts w:ascii="Times New Roman" w:hAnsi="Times New Roman"/>
                <w:i w:val="0"/>
                <w:sz w:val="22"/>
                <w:szCs w:val="22"/>
              </w:rPr>
              <w:t>.</w:t>
            </w:r>
          </w:p>
        </w:tc>
        <w:tc>
          <w:tcPr>
            <w:tcW w:w="12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Per Pupil Weight</w:t>
            </w:r>
          </w:p>
        </w:tc>
        <w:tc>
          <w:tcPr>
            <w:tcW w:w="28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color w:val="000000" w:themeColor="text1"/>
              </w:rPr>
              <w:t>An addition</w:t>
            </w:r>
            <w:r w:rsidR="00F71841" w:rsidRPr="00F40195">
              <w:rPr>
                <w:rFonts w:ascii="Times New Roman" w:hAnsi="Times New Roman"/>
                <w:i w:val="0"/>
                <w:color w:val="000000" w:themeColor="text1"/>
              </w:rPr>
              <w:t>al</w:t>
            </w:r>
            <w:r w:rsidRPr="00F40195">
              <w:rPr>
                <w:rFonts w:ascii="Times New Roman" w:hAnsi="Times New Roman"/>
                <w:i w:val="0"/>
                <w:color w:val="000000" w:themeColor="text1"/>
              </w:rPr>
              <w:t xml:space="preserve"> weight of 0.25 per student for districts with above average at-risk populations</w:t>
            </w:r>
          </w:p>
        </w:tc>
        <w:tc>
          <w:tcPr>
            <w:tcW w:w="2694"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If a district’s student count is above a threshold set by the state then each student receive an additional weight of 0.60</w:t>
            </w:r>
          </w:p>
        </w:tc>
      </w:tr>
      <w:tr w:rsidR="00F02794" w:rsidRPr="00F40195" w:rsidTr="00E2519A">
        <w:trPr>
          <w:trHeight w:val="530"/>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Ohio</w:t>
            </w:r>
          </w:p>
        </w:tc>
        <w:tc>
          <w:tcPr>
            <w:tcW w:w="1981"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tc>
        <w:tc>
          <w:tcPr>
            <w:tcW w:w="1273" w:type="dxa"/>
            <w:vAlign w:val="center"/>
          </w:tcPr>
          <w:p w:rsidR="00F02794" w:rsidRPr="00F40195" w:rsidRDefault="00F02794" w:rsidP="00F40195">
            <w:pPr>
              <w:pStyle w:val="PlainText"/>
              <w:jc w:val="center"/>
              <w:rPr>
                <w:rFonts w:ascii="Times New Roman" w:hAnsi="Times New Roman"/>
                <w:i w:val="0"/>
                <w:color w:val="FF0000"/>
                <w:sz w:val="22"/>
                <w:szCs w:val="22"/>
              </w:rPr>
            </w:pPr>
            <w:r w:rsidRPr="00F40195">
              <w:rPr>
                <w:rFonts w:ascii="Times New Roman" w:hAnsi="Times New Roman"/>
                <w:i w:val="0"/>
                <w:sz w:val="22"/>
                <w:szCs w:val="22"/>
              </w:rPr>
              <w:t xml:space="preserve">A per pupil amount in the state formula based on 6 different disability categories. </w:t>
            </w:r>
          </w:p>
        </w:tc>
        <w:tc>
          <w:tcPr>
            <w:tcW w:w="2873"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 xml:space="preserve">Economically </w:t>
            </w:r>
            <w:r w:rsidR="0008084C" w:rsidRPr="00F40195">
              <w:rPr>
                <w:rFonts w:ascii="Times New Roman" w:hAnsi="Times New Roman"/>
                <w:i w:val="0"/>
                <w:sz w:val="22"/>
                <w:szCs w:val="22"/>
              </w:rPr>
              <w:t>D</w:t>
            </w:r>
            <w:r w:rsidRPr="00F40195">
              <w:rPr>
                <w:rFonts w:ascii="Times New Roman" w:hAnsi="Times New Roman"/>
                <w:i w:val="0"/>
                <w:sz w:val="22"/>
                <w:szCs w:val="22"/>
              </w:rPr>
              <w:t>isadvantaged (ED) students receive additional funding of $269 – this amount is adjusted up or down based on the percentage of students in the district who qualify as ED compared to the state average. The state estimates that the amount will range from $0 to $1,237 per pupil.</w:t>
            </w:r>
          </w:p>
        </w:tc>
        <w:tc>
          <w:tcPr>
            <w:tcW w:w="2694"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 xml:space="preserve">$1,500 in additional funding for Limited English Proficient (LEP) students in school less than 180 days, $1,125 for LEP students in school greater than 180 days and $758 for LEP students who are mainstreamed. </w:t>
            </w:r>
          </w:p>
        </w:tc>
      </w:tr>
      <w:tr w:rsidR="00F02794" w:rsidRPr="00F40195" w:rsidTr="00E2519A">
        <w:trPr>
          <w:trHeight w:val="530"/>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Tennessee</w:t>
            </w:r>
          </w:p>
        </w:tc>
        <w:tc>
          <w:tcPr>
            <w:tcW w:w="1981"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tc>
        <w:tc>
          <w:tcPr>
            <w:tcW w:w="12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Per Pupil Weight</w:t>
            </w:r>
          </w:p>
        </w:tc>
        <w:tc>
          <w:tcPr>
            <w:tcW w:w="2873"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Additional funding of approximately $518 per identified at-risk student</w:t>
            </w:r>
          </w:p>
        </w:tc>
        <w:tc>
          <w:tcPr>
            <w:tcW w:w="2694" w:type="dxa"/>
            <w:shd w:val="clear" w:color="auto" w:fill="FFFFFF" w:themeFill="background1"/>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Districts receive funding for an additional teaching position for every 30 ELL students and an additional translator for every 300 ELL students</w:t>
            </w:r>
          </w:p>
        </w:tc>
      </w:tr>
      <w:tr w:rsidR="00F02794" w:rsidRPr="00F40195" w:rsidTr="00E2519A">
        <w:trPr>
          <w:trHeight w:val="530"/>
        </w:trPr>
        <w:tc>
          <w:tcPr>
            <w:tcW w:w="1169"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West Virginia</w:t>
            </w:r>
          </w:p>
        </w:tc>
        <w:tc>
          <w:tcPr>
            <w:tcW w:w="1981"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Foundation</w:t>
            </w:r>
          </w:p>
        </w:tc>
        <w:tc>
          <w:tcPr>
            <w:tcW w:w="12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Per Pupil Weight</w:t>
            </w:r>
          </w:p>
        </w:tc>
        <w:tc>
          <w:tcPr>
            <w:tcW w:w="2873"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rPr>
              <w:t>Districts receive $18 for each student counted in net enrollment.</w:t>
            </w:r>
          </w:p>
        </w:tc>
        <w:tc>
          <w:tcPr>
            <w:tcW w:w="2694" w:type="dxa"/>
            <w:vAlign w:val="center"/>
          </w:tcPr>
          <w:p w:rsidR="00F02794" w:rsidRPr="00F40195" w:rsidRDefault="00F02794" w:rsidP="00F40195">
            <w:pPr>
              <w:pStyle w:val="PlainText"/>
              <w:jc w:val="center"/>
              <w:rPr>
                <w:rFonts w:ascii="Times New Roman" w:hAnsi="Times New Roman"/>
                <w:i w:val="0"/>
                <w:sz w:val="22"/>
                <w:szCs w:val="22"/>
              </w:rPr>
            </w:pPr>
            <w:r w:rsidRPr="00F40195">
              <w:rPr>
                <w:rFonts w:ascii="Times New Roman" w:hAnsi="Times New Roman"/>
                <w:i w:val="0"/>
                <w:sz w:val="22"/>
                <w:szCs w:val="22"/>
              </w:rPr>
              <w:t>No additional funding</w:t>
            </w:r>
          </w:p>
        </w:tc>
      </w:tr>
    </w:tbl>
    <w:p w:rsidR="00F02794" w:rsidRPr="00844962" w:rsidRDefault="00F02794" w:rsidP="0061351D">
      <w:pPr>
        <w:autoSpaceDE w:val="0"/>
        <w:autoSpaceDN w:val="0"/>
        <w:adjustRightInd w:val="0"/>
        <w:spacing w:line="240" w:lineRule="auto"/>
        <w:rPr>
          <w:rFonts w:cs="Times New Roman"/>
          <w:sz w:val="20"/>
          <w:szCs w:val="20"/>
        </w:rPr>
      </w:pPr>
      <w:r w:rsidRPr="00844962">
        <w:rPr>
          <w:rFonts w:cs="Times New Roman"/>
          <w:sz w:val="20"/>
          <w:szCs w:val="20"/>
        </w:rPr>
        <w:t>Sources: Verstegen, D. A. (2011)</w:t>
      </w:r>
      <w:r w:rsidR="00E2519A">
        <w:rPr>
          <w:rFonts w:cs="Times New Roman"/>
          <w:sz w:val="20"/>
          <w:szCs w:val="20"/>
        </w:rPr>
        <w:t>,</w:t>
      </w:r>
      <w:r w:rsidRPr="00844962">
        <w:rPr>
          <w:rFonts w:cs="Times New Roman"/>
          <w:sz w:val="20"/>
          <w:szCs w:val="20"/>
        </w:rPr>
        <w:t xml:space="preserve"> Griffith, </w:t>
      </w:r>
      <w:r w:rsidR="00E2519A">
        <w:rPr>
          <w:rFonts w:cs="Times New Roman"/>
          <w:sz w:val="20"/>
          <w:szCs w:val="20"/>
        </w:rPr>
        <w:t>M.</w:t>
      </w:r>
      <w:r w:rsidRPr="00844962">
        <w:rPr>
          <w:rFonts w:cs="Times New Roman"/>
          <w:sz w:val="20"/>
          <w:szCs w:val="20"/>
        </w:rPr>
        <w:t xml:space="preserve"> </w:t>
      </w:r>
      <w:r w:rsidR="00E2519A">
        <w:rPr>
          <w:rFonts w:cs="Times New Roman"/>
          <w:sz w:val="20"/>
          <w:szCs w:val="20"/>
        </w:rPr>
        <w:t>&amp;</w:t>
      </w:r>
      <w:r w:rsidRPr="00844962">
        <w:rPr>
          <w:rFonts w:cs="Times New Roman"/>
          <w:sz w:val="20"/>
          <w:szCs w:val="20"/>
        </w:rPr>
        <w:t xml:space="preserve"> Workman </w:t>
      </w:r>
      <w:r w:rsidR="00E2519A">
        <w:rPr>
          <w:rFonts w:cs="Times New Roman"/>
          <w:sz w:val="20"/>
          <w:szCs w:val="20"/>
        </w:rPr>
        <w:t xml:space="preserve">E. </w:t>
      </w:r>
      <w:r w:rsidRPr="00844962">
        <w:rPr>
          <w:rFonts w:cs="Times New Roman"/>
          <w:sz w:val="20"/>
          <w:szCs w:val="20"/>
        </w:rPr>
        <w:t>(2013</w:t>
      </w:r>
      <w:r w:rsidR="00E2519A">
        <w:rPr>
          <w:rFonts w:cs="Times New Roman"/>
          <w:sz w:val="20"/>
          <w:szCs w:val="20"/>
        </w:rPr>
        <w:t>)</w:t>
      </w:r>
    </w:p>
    <w:p w:rsidR="00F02794" w:rsidRPr="00F40195" w:rsidRDefault="00F02794" w:rsidP="00F40195">
      <w:pPr>
        <w:spacing w:line="240" w:lineRule="auto"/>
        <w:rPr>
          <w:rFonts w:cs="Times New Roman"/>
          <w:sz w:val="22"/>
        </w:rPr>
      </w:pPr>
    </w:p>
    <w:p w:rsidR="00F02794" w:rsidRPr="00F40195" w:rsidRDefault="00F02794" w:rsidP="008D674A">
      <w:pPr>
        <w:pStyle w:val="Heading3"/>
      </w:pPr>
      <w:bookmarkStart w:id="31" w:name="_Toc385250708"/>
      <w:bookmarkStart w:id="32" w:name="_Toc395180650"/>
      <w:r w:rsidRPr="00F40195">
        <w:t>Transportation and Capital Costs</w:t>
      </w:r>
      <w:bookmarkEnd w:id="31"/>
      <w:bookmarkEnd w:id="32"/>
    </w:p>
    <w:p w:rsidR="00F02794" w:rsidRPr="00F40195" w:rsidRDefault="00F02794" w:rsidP="00F40195">
      <w:pPr>
        <w:widowControl w:val="0"/>
        <w:tabs>
          <w:tab w:val="left" w:pos="220"/>
          <w:tab w:val="left" w:pos="720"/>
        </w:tabs>
        <w:autoSpaceDE w:val="0"/>
        <w:autoSpaceDN w:val="0"/>
        <w:adjustRightInd w:val="0"/>
        <w:spacing w:after="320" w:line="240" w:lineRule="auto"/>
        <w:rPr>
          <w:rFonts w:cs="Times New Roman"/>
        </w:rPr>
      </w:pPr>
      <w:r w:rsidRPr="00F40195">
        <w:rPr>
          <w:rFonts w:cs="Times New Roman"/>
        </w:rPr>
        <w:t>Two programs that tend to be funded by states outside of the primary funding formula are transportation costs and capital expenditures. Kentucky funds transportation costs outside of the formula based on the number of students per square mile who need to be transported greater than one mile (KRS 157.370)</w:t>
      </w:r>
      <w:r w:rsidRPr="00F40195">
        <w:rPr>
          <w:rFonts w:cs="Times New Roman"/>
          <w:bCs/>
        </w:rPr>
        <w:t>.</w:t>
      </w:r>
      <w:r w:rsidRPr="00F40195">
        <w:rPr>
          <w:rFonts w:cs="Times New Roman"/>
        </w:rPr>
        <w:t xml:space="preserve"> Of the other 49 states, 10 address transportation costs within the primary formula, and three states provide no funding at all, the remaining 36 states address this issue outside of the primary formula because transportation needs varies so greatly between districts. The various systems that states use to allocate transportation costs outside of the primary formula include:</w:t>
      </w:r>
    </w:p>
    <w:p w:rsidR="00F02794" w:rsidRPr="00F40195" w:rsidRDefault="00F02794" w:rsidP="00F40195">
      <w:pPr>
        <w:pStyle w:val="ListParagraph"/>
        <w:widowControl w:val="0"/>
        <w:numPr>
          <w:ilvl w:val="0"/>
          <w:numId w:val="38"/>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Allowable reimbursement (16 states) – The state reimburses districts for a percentage of allowable transportation expenses </w:t>
      </w:r>
    </w:p>
    <w:p w:rsidR="00F02794" w:rsidRPr="00F40195" w:rsidRDefault="00F02794" w:rsidP="00F40195">
      <w:pPr>
        <w:pStyle w:val="ListParagraph"/>
        <w:widowControl w:val="0"/>
        <w:numPr>
          <w:ilvl w:val="0"/>
          <w:numId w:val="38"/>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Density formulas (8 states) – The state funds districts based on the number of district students per square mile </w:t>
      </w:r>
    </w:p>
    <w:p w:rsidR="00F02794" w:rsidRPr="00F40195" w:rsidRDefault="00F02794" w:rsidP="00F40195">
      <w:pPr>
        <w:pStyle w:val="ListParagraph"/>
        <w:widowControl w:val="0"/>
        <w:numPr>
          <w:ilvl w:val="0"/>
          <w:numId w:val="38"/>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Per pupil (5 states) – The state provides funding to each district based on a set amount per pupil </w:t>
      </w:r>
    </w:p>
    <w:p w:rsidR="00F02794" w:rsidRPr="00F40195" w:rsidRDefault="00F02794" w:rsidP="00F40195">
      <w:pPr>
        <w:pStyle w:val="ListParagraph"/>
        <w:widowControl w:val="0"/>
        <w:numPr>
          <w:ilvl w:val="0"/>
          <w:numId w:val="38"/>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Full reimbursement (5 states) – The state reimburses each district the full cost of allowable transportation expenses </w:t>
      </w:r>
    </w:p>
    <w:p w:rsidR="00F02794" w:rsidRPr="00F40195" w:rsidRDefault="00F02794" w:rsidP="00F40195">
      <w:pPr>
        <w:pStyle w:val="ListParagraph"/>
        <w:widowControl w:val="0"/>
        <w:numPr>
          <w:ilvl w:val="0"/>
          <w:numId w:val="38"/>
        </w:numPr>
        <w:tabs>
          <w:tab w:val="left" w:pos="220"/>
          <w:tab w:val="left" w:pos="720"/>
        </w:tabs>
        <w:autoSpaceDE w:val="0"/>
        <w:autoSpaceDN w:val="0"/>
        <w:adjustRightInd w:val="0"/>
        <w:spacing w:after="320" w:line="240" w:lineRule="auto"/>
        <w:rPr>
          <w:rFonts w:cs="Times New Roman"/>
        </w:rPr>
      </w:pPr>
      <w:r w:rsidRPr="00F40195">
        <w:rPr>
          <w:rFonts w:cs="Times New Roman"/>
        </w:rPr>
        <w:t>Equalized reimbursements (3 states) – The state provides a reimbursement to districts that are equalized based on their relative wealth.</w:t>
      </w:r>
    </w:p>
    <w:p w:rsidR="00F02794" w:rsidRPr="00F40195" w:rsidRDefault="00F02794" w:rsidP="00F40195">
      <w:pPr>
        <w:widowControl w:val="0"/>
        <w:tabs>
          <w:tab w:val="left" w:pos="220"/>
          <w:tab w:val="left" w:pos="720"/>
        </w:tabs>
        <w:autoSpaceDE w:val="0"/>
        <w:autoSpaceDN w:val="0"/>
        <w:adjustRightInd w:val="0"/>
        <w:spacing w:after="320" w:line="240" w:lineRule="auto"/>
        <w:rPr>
          <w:rFonts w:cs="Times New Roman"/>
        </w:rPr>
      </w:pPr>
      <w:r w:rsidRPr="00F40195">
        <w:rPr>
          <w:rFonts w:cs="Times New Roman"/>
        </w:rPr>
        <w:t>States often address capital costs outside of the primary formula as well. Kentucky provides $100 per student within the state</w:t>
      </w:r>
      <w:r w:rsidR="00901CFB" w:rsidRPr="00F40195">
        <w:rPr>
          <w:rFonts w:cs="Times New Roman"/>
        </w:rPr>
        <w:t>’</w:t>
      </w:r>
      <w:r w:rsidRPr="00F40195">
        <w:rPr>
          <w:rFonts w:cs="Times New Roman"/>
        </w:rPr>
        <w:t>s funding formula for capital costs and also provides grants to district</w:t>
      </w:r>
      <w:r w:rsidR="00901CFB" w:rsidRPr="00F40195">
        <w:rPr>
          <w:rFonts w:cs="Times New Roman"/>
        </w:rPr>
        <w:t>s</w:t>
      </w:r>
      <w:r w:rsidRPr="00F40195">
        <w:rPr>
          <w:rFonts w:cs="Times New Roman"/>
        </w:rPr>
        <w:t xml:space="preserve"> to pay the cost of bonds for approved projects (</w:t>
      </w:r>
      <w:r w:rsidRPr="00F40195">
        <w:rPr>
          <w:rFonts w:cs="Times New Roman"/>
          <w:i/>
        </w:rPr>
        <w:t>KRS 157.611</w:t>
      </w:r>
      <w:r w:rsidRPr="00F40195">
        <w:rPr>
          <w:rFonts w:cs="Times New Roman"/>
        </w:rPr>
        <w:t xml:space="preserve">). Twelve states provide no funding for capital costs. Of the remaining 38 states – six use their primary formula to fund capital costs, four states use a combination of funding from their primary formula and other funding sources outside of the formula and the remaining 28 states use one or more funding programs outside the primary formula. The various types of funding that exist outside the formula are (Note: Some states use multiple funding systems): </w:t>
      </w:r>
    </w:p>
    <w:p w:rsidR="00F02794" w:rsidRPr="00F40195" w:rsidRDefault="00F02794" w:rsidP="00F40195">
      <w:pPr>
        <w:pStyle w:val="ListParagraph"/>
        <w:widowControl w:val="0"/>
        <w:numPr>
          <w:ilvl w:val="0"/>
          <w:numId w:val="39"/>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Approved project grants (13 states) </w:t>
      </w:r>
    </w:p>
    <w:p w:rsidR="00F02794" w:rsidRPr="00F40195" w:rsidRDefault="00F02794" w:rsidP="00F40195">
      <w:pPr>
        <w:pStyle w:val="ListParagraph"/>
        <w:widowControl w:val="0"/>
        <w:numPr>
          <w:ilvl w:val="0"/>
          <w:numId w:val="39"/>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Equalized project grants (10 states) </w:t>
      </w:r>
    </w:p>
    <w:p w:rsidR="00F02794" w:rsidRPr="00F40195" w:rsidRDefault="00F02794" w:rsidP="00F40195">
      <w:pPr>
        <w:pStyle w:val="ListParagraph"/>
        <w:widowControl w:val="0"/>
        <w:numPr>
          <w:ilvl w:val="0"/>
          <w:numId w:val="39"/>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Equalized debt service (6 states) </w:t>
      </w:r>
    </w:p>
    <w:p w:rsidR="00F02794" w:rsidRPr="00F40195" w:rsidRDefault="00F02794" w:rsidP="00F40195">
      <w:pPr>
        <w:pStyle w:val="ListParagraph"/>
        <w:widowControl w:val="0"/>
        <w:numPr>
          <w:ilvl w:val="0"/>
          <w:numId w:val="39"/>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State bond guarantees (5 states) </w:t>
      </w:r>
    </w:p>
    <w:p w:rsidR="00F02794" w:rsidRPr="00F40195" w:rsidRDefault="00F02794" w:rsidP="00F40195">
      <w:pPr>
        <w:pStyle w:val="ListParagraph"/>
        <w:widowControl w:val="0"/>
        <w:numPr>
          <w:ilvl w:val="0"/>
          <w:numId w:val="39"/>
        </w:numPr>
        <w:tabs>
          <w:tab w:val="left" w:pos="220"/>
          <w:tab w:val="left" w:pos="720"/>
        </w:tabs>
        <w:autoSpaceDE w:val="0"/>
        <w:autoSpaceDN w:val="0"/>
        <w:adjustRightInd w:val="0"/>
        <w:spacing w:after="320" w:line="240" w:lineRule="auto"/>
        <w:rPr>
          <w:rFonts w:cs="Times New Roman"/>
        </w:rPr>
      </w:pPr>
      <w:r w:rsidRPr="00F40195">
        <w:rPr>
          <w:rFonts w:cs="Times New Roman"/>
        </w:rPr>
        <w:t xml:space="preserve">Subsidized loans to school districts (4 states) </w:t>
      </w:r>
    </w:p>
    <w:p w:rsidR="00F02794" w:rsidRPr="00F40195" w:rsidRDefault="00F02794" w:rsidP="00F40195">
      <w:pPr>
        <w:pStyle w:val="ListParagraph"/>
        <w:widowControl w:val="0"/>
        <w:numPr>
          <w:ilvl w:val="0"/>
          <w:numId w:val="39"/>
        </w:numPr>
        <w:tabs>
          <w:tab w:val="left" w:pos="220"/>
          <w:tab w:val="left" w:pos="720"/>
        </w:tabs>
        <w:autoSpaceDE w:val="0"/>
        <w:autoSpaceDN w:val="0"/>
        <w:adjustRightInd w:val="0"/>
        <w:spacing w:after="320" w:line="240" w:lineRule="auto"/>
        <w:rPr>
          <w:rFonts w:cs="Times New Roman"/>
        </w:rPr>
      </w:pPr>
      <w:r w:rsidRPr="00F40195">
        <w:rPr>
          <w:rFonts w:cs="Times New Roman"/>
        </w:rPr>
        <w:t>Debt service grants to school districts (2 states).</w:t>
      </w:r>
    </w:p>
    <w:p w:rsidR="00F02794" w:rsidRPr="00F40195" w:rsidRDefault="00F02794" w:rsidP="00F40195">
      <w:pPr>
        <w:widowControl w:val="0"/>
        <w:tabs>
          <w:tab w:val="left" w:pos="220"/>
          <w:tab w:val="left" w:pos="720"/>
        </w:tabs>
        <w:autoSpaceDE w:val="0"/>
        <w:autoSpaceDN w:val="0"/>
        <w:adjustRightInd w:val="0"/>
        <w:spacing w:after="320" w:line="240" w:lineRule="auto"/>
        <w:rPr>
          <w:rFonts w:cs="Times New Roman"/>
        </w:rPr>
      </w:pPr>
      <w:r w:rsidRPr="00F40195">
        <w:rPr>
          <w:rFonts w:cs="Times New Roman"/>
        </w:rPr>
        <w:t xml:space="preserve">Table 2.2 below summarizes the transportation and capital cost provisions of the school funding formulas in Kentucky and the seven other comparable states. </w:t>
      </w:r>
    </w:p>
    <w:p w:rsidR="00A62AAE" w:rsidRDefault="00A62AAE">
      <w:pPr>
        <w:rPr>
          <w:rFonts w:cs="Times New Roman"/>
          <w:b/>
        </w:rPr>
      </w:pPr>
      <w:r>
        <w:rPr>
          <w:rFonts w:cs="Times New Roman"/>
          <w:b/>
        </w:rPr>
        <w:br w:type="page"/>
      </w:r>
    </w:p>
    <w:p w:rsidR="00CC79D7" w:rsidRDefault="00CC79D7" w:rsidP="00CC79D7">
      <w:pPr>
        <w:spacing w:line="240" w:lineRule="auto"/>
        <w:jc w:val="center"/>
        <w:rPr>
          <w:rFonts w:cs="Times New Roman"/>
          <w:b/>
        </w:rPr>
      </w:pPr>
      <w:r>
        <w:rPr>
          <w:rFonts w:cs="Times New Roman"/>
          <w:b/>
        </w:rPr>
        <w:lastRenderedPageBreak/>
        <w:t>Table 2.2</w:t>
      </w:r>
    </w:p>
    <w:p w:rsidR="00F02794" w:rsidRDefault="00F02794" w:rsidP="00CC79D7">
      <w:pPr>
        <w:spacing w:line="240" w:lineRule="auto"/>
        <w:jc w:val="center"/>
        <w:rPr>
          <w:rFonts w:cs="Times New Roman"/>
          <w:b/>
        </w:rPr>
      </w:pPr>
      <w:r w:rsidRPr="00F40195">
        <w:rPr>
          <w:rFonts w:cs="Times New Roman"/>
          <w:b/>
        </w:rPr>
        <w:t>Transportation &amp; Capital Expenditures across Comparative States</w:t>
      </w:r>
    </w:p>
    <w:p w:rsidR="00CC79D7" w:rsidRPr="00F40195" w:rsidRDefault="00CC79D7" w:rsidP="00CC79D7">
      <w:pPr>
        <w:spacing w:line="240" w:lineRule="auto"/>
        <w:jc w:val="center"/>
        <w:rPr>
          <w:rFonts w:cs="Times New Roman"/>
          <w:sz w:val="22"/>
        </w:rPr>
      </w:pPr>
    </w:p>
    <w:tbl>
      <w:tblPr>
        <w:tblStyle w:val="TableGrid"/>
        <w:tblW w:w="0" w:type="auto"/>
        <w:tblLook w:val="04A0" w:firstRow="1" w:lastRow="0" w:firstColumn="1" w:lastColumn="0" w:noHBand="0" w:noVBand="1"/>
      </w:tblPr>
      <w:tblGrid>
        <w:gridCol w:w="2952"/>
        <w:gridCol w:w="2952"/>
        <w:gridCol w:w="2952"/>
      </w:tblGrid>
      <w:tr w:rsidR="00F02794" w:rsidRPr="00F40195" w:rsidTr="002F335C">
        <w:trPr>
          <w:trHeight w:val="521"/>
        </w:trPr>
        <w:tc>
          <w:tcPr>
            <w:tcW w:w="2952" w:type="dxa"/>
            <w:vAlign w:val="bottom"/>
          </w:tcPr>
          <w:p w:rsidR="00F02794" w:rsidRPr="00F40195" w:rsidRDefault="00F02794" w:rsidP="00F40195">
            <w:pPr>
              <w:jc w:val="center"/>
              <w:rPr>
                <w:b/>
              </w:rPr>
            </w:pPr>
            <w:r w:rsidRPr="00F40195">
              <w:rPr>
                <w:b/>
              </w:rPr>
              <w:t>State</w:t>
            </w:r>
          </w:p>
        </w:tc>
        <w:tc>
          <w:tcPr>
            <w:tcW w:w="2952" w:type="dxa"/>
            <w:vAlign w:val="bottom"/>
          </w:tcPr>
          <w:p w:rsidR="00F02794" w:rsidRPr="00F40195" w:rsidRDefault="00F02794" w:rsidP="00F40195">
            <w:pPr>
              <w:jc w:val="center"/>
              <w:rPr>
                <w:b/>
              </w:rPr>
            </w:pPr>
            <w:r w:rsidRPr="00F40195">
              <w:rPr>
                <w:b/>
              </w:rPr>
              <w:t>Transportation</w:t>
            </w:r>
          </w:p>
        </w:tc>
        <w:tc>
          <w:tcPr>
            <w:tcW w:w="2952" w:type="dxa"/>
            <w:vAlign w:val="bottom"/>
          </w:tcPr>
          <w:p w:rsidR="00F02794" w:rsidRPr="00F40195" w:rsidRDefault="00F02794" w:rsidP="00F40195">
            <w:pPr>
              <w:jc w:val="center"/>
              <w:rPr>
                <w:b/>
              </w:rPr>
            </w:pPr>
            <w:r w:rsidRPr="00F40195">
              <w:rPr>
                <w:b/>
              </w:rPr>
              <w:t>Capital Costs</w:t>
            </w:r>
          </w:p>
        </w:tc>
      </w:tr>
      <w:tr w:rsidR="00F02794" w:rsidRPr="00F40195" w:rsidTr="002F335C">
        <w:trPr>
          <w:trHeight w:val="620"/>
        </w:trPr>
        <w:tc>
          <w:tcPr>
            <w:tcW w:w="2952" w:type="dxa"/>
            <w:shd w:val="clear" w:color="auto" w:fill="A6A6A6"/>
            <w:vAlign w:val="center"/>
          </w:tcPr>
          <w:p w:rsidR="00F02794" w:rsidRPr="00F40195" w:rsidRDefault="00F02794" w:rsidP="00F40195">
            <w:pPr>
              <w:jc w:val="center"/>
              <w:rPr>
                <w:highlight w:val="yellow"/>
              </w:rPr>
            </w:pPr>
            <w:r w:rsidRPr="00F40195">
              <w:t>Kentucky</w:t>
            </w:r>
          </w:p>
        </w:tc>
        <w:tc>
          <w:tcPr>
            <w:tcW w:w="2952" w:type="dxa"/>
            <w:shd w:val="clear" w:color="auto" w:fill="A6A6A6"/>
            <w:vAlign w:val="center"/>
          </w:tcPr>
          <w:p w:rsidR="00F02794" w:rsidRPr="00F40195" w:rsidRDefault="00F02794" w:rsidP="00F40195">
            <w:pPr>
              <w:jc w:val="center"/>
              <w:rPr>
                <w:highlight w:val="yellow"/>
              </w:rPr>
            </w:pPr>
            <w:r w:rsidRPr="00F40195">
              <w:t>Funding is based on a “Density formula”  (KRS – 157.370)</w:t>
            </w:r>
          </w:p>
        </w:tc>
        <w:tc>
          <w:tcPr>
            <w:tcW w:w="2952" w:type="dxa"/>
            <w:shd w:val="clear" w:color="auto" w:fill="A6A6A6"/>
            <w:vAlign w:val="center"/>
          </w:tcPr>
          <w:p w:rsidR="00F02794" w:rsidRPr="00F40195" w:rsidRDefault="00F02794" w:rsidP="00F40195">
            <w:pPr>
              <w:jc w:val="center"/>
              <w:rPr>
                <w:highlight w:val="yellow"/>
              </w:rPr>
            </w:pPr>
            <w:r w:rsidRPr="00F40195">
              <w:t>Districts are provided with $100 per student for capital costs in the formula. In addition the state provides grants for capital and debt service.</w:t>
            </w:r>
          </w:p>
        </w:tc>
      </w:tr>
      <w:tr w:rsidR="00F02794" w:rsidRPr="00F40195" w:rsidTr="002F335C">
        <w:trPr>
          <w:trHeight w:val="719"/>
        </w:trPr>
        <w:tc>
          <w:tcPr>
            <w:tcW w:w="2952" w:type="dxa"/>
            <w:vAlign w:val="center"/>
          </w:tcPr>
          <w:p w:rsidR="00F02794" w:rsidRPr="00F40195" w:rsidRDefault="00F02794" w:rsidP="00F40195">
            <w:pPr>
              <w:jc w:val="center"/>
            </w:pPr>
            <w:r w:rsidRPr="00F40195">
              <w:t>Alabama</w:t>
            </w:r>
          </w:p>
        </w:tc>
        <w:tc>
          <w:tcPr>
            <w:tcW w:w="2952" w:type="dxa"/>
            <w:vAlign w:val="center"/>
          </w:tcPr>
          <w:p w:rsidR="00F02794" w:rsidRPr="00F40195" w:rsidRDefault="00F02794" w:rsidP="00F40195">
            <w:pPr>
              <w:jc w:val="center"/>
            </w:pPr>
            <w:r w:rsidRPr="00F40195">
              <w:t>Allowable reimbursements</w:t>
            </w:r>
          </w:p>
        </w:tc>
        <w:tc>
          <w:tcPr>
            <w:tcW w:w="2952" w:type="dxa"/>
            <w:vAlign w:val="center"/>
          </w:tcPr>
          <w:p w:rsidR="00F02794" w:rsidRPr="00F40195" w:rsidRDefault="00F02794" w:rsidP="00F40195">
            <w:pPr>
              <w:jc w:val="center"/>
            </w:pPr>
            <w:r w:rsidRPr="00F40195">
              <w:t>State grants for debt service</w:t>
            </w:r>
          </w:p>
        </w:tc>
      </w:tr>
      <w:tr w:rsidR="00F02794" w:rsidRPr="00F40195" w:rsidTr="002F335C">
        <w:trPr>
          <w:trHeight w:val="710"/>
        </w:trPr>
        <w:tc>
          <w:tcPr>
            <w:tcW w:w="2952" w:type="dxa"/>
            <w:vAlign w:val="center"/>
          </w:tcPr>
          <w:p w:rsidR="00F02794" w:rsidRPr="00F40195" w:rsidRDefault="00F02794" w:rsidP="00F40195">
            <w:pPr>
              <w:jc w:val="center"/>
            </w:pPr>
            <w:r w:rsidRPr="00F40195">
              <w:t>Arkansas</w:t>
            </w:r>
          </w:p>
        </w:tc>
        <w:tc>
          <w:tcPr>
            <w:tcW w:w="2952" w:type="dxa"/>
            <w:vAlign w:val="center"/>
          </w:tcPr>
          <w:p w:rsidR="00F02794" w:rsidRPr="00F40195" w:rsidRDefault="00F02794" w:rsidP="00F40195">
            <w:pPr>
              <w:jc w:val="center"/>
            </w:pPr>
            <w:r w:rsidRPr="00F40195">
              <w:t>No state funding</w:t>
            </w:r>
          </w:p>
        </w:tc>
        <w:tc>
          <w:tcPr>
            <w:tcW w:w="2952" w:type="dxa"/>
            <w:vAlign w:val="center"/>
          </w:tcPr>
          <w:p w:rsidR="00F02794" w:rsidRPr="00F40195" w:rsidRDefault="00F02794" w:rsidP="00F40195">
            <w:pPr>
              <w:jc w:val="center"/>
            </w:pPr>
            <w:r w:rsidRPr="00F40195">
              <w:t>Project grants</w:t>
            </w:r>
          </w:p>
        </w:tc>
      </w:tr>
      <w:tr w:rsidR="00F02794" w:rsidRPr="00F40195" w:rsidTr="002F335C">
        <w:trPr>
          <w:trHeight w:val="881"/>
        </w:trPr>
        <w:tc>
          <w:tcPr>
            <w:tcW w:w="2952" w:type="dxa"/>
            <w:vAlign w:val="center"/>
          </w:tcPr>
          <w:p w:rsidR="00F02794" w:rsidRPr="00F40195" w:rsidRDefault="00F02794" w:rsidP="00F40195">
            <w:pPr>
              <w:jc w:val="center"/>
            </w:pPr>
            <w:r w:rsidRPr="00F40195">
              <w:t>Indiana</w:t>
            </w:r>
          </w:p>
        </w:tc>
        <w:tc>
          <w:tcPr>
            <w:tcW w:w="2952" w:type="dxa"/>
            <w:vAlign w:val="center"/>
          </w:tcPr>
          <w:p w:rsidR="00F02794" w:rsidRPr="00F40195" w:rsidRDefault="00F02794" w:rsidP="00F40195">
            <w:pPr>
              <w:jc w:val="center"/>
            </w:pPr>
            <w:r w:rsidRPr="00F40195">
              <w:t>Transportation funds provided in the primary funding formula</w:t>
            </w:r>
          </w:p>
        </w:tc>
        <w:tc>
          <w:tcPr>
            <w:tcW w:w="2952" w:type="dxa"/>
            <w:vAlign w:val="center"/>
          </w:tcPr>
          <w:p w:rsidR="00F02794" w:rsidRPr="00F40195" w:rsidRDefault="00F02794" w:rsidP="00F40195">
            <w:pPr>
              <w:jc w:val="center"/>
            </w:pPr>
            <w:r w:rsidRPr="00F40195">
              <w:t>No state funding</w:t>
            </w:r>
          </w:p>
        </w:tc>
      </w:tr>
      <w:tr w:rsidR="00F02794" w:rsidRPr="00F40195" w:rsidTr="002F335C">
        <w:trPr>
          <w:trHeight w:val="710"/>
        </w:trPr>
        <w:tc>
          <w:tcPr>
            <w:tcW w:w="2952" w:type="dxa"/>
            <w:vAlign w:val="center"/>
          </w:tcPr>
          <w:p w:rsidR="00F02794" w:rsidRPr="00F40195" w:rsidRDefault="00F02794" w:rsidP="00F40195">
            <w:pPr>
              <w:jc w:val="center"/>
            </w:pPr>
            <w:r w:rsidRPr="00F40195">
              <w:t>Missouri</w:t>
            </w:r>
          </w:p>
        </w:tc>
        <w:tc>
          <w:tcPr>
            <w:tcW w:w="2952" w:type="dxa"/>
            <w:vAlign w:val="center"/>
          </w:tcPr>
          <w:p w:rsidR="00F02794" w:rsidRPr="00F40195" w:rsidRDefault="00F02794" w:rsidP="00F40195">
            <w:pPr>
              <w:jc w:val="center"/>
            </w:pPr>
            <w:r w:rsidRPr="00F40195">
              <w:t>Allowable reimbursements</w:t>
            </w:r>
          </w:p>
        </w:tc>
        <w:tc>
          <w:tcPr>
            <w:tcW w:w="2952" w:type="dxa"/>
            <w:vAlign w:val="center"/>
          </w:tcPr>
          <w:p w:rsidR="00F02794" w:rsidRPr="00F40195" w:rsidRDefault="00F02794" w:rsidP="00F40195">
            <w:pPr>
              <w:jc w:val="center"/>
            </w:pPr>
            <w:r w:rsidRPr="00F40195">
              <w:t>No state funding</w:t>
            </w:r>
          </w:p>
        </w:tc>
      </w:tr>
      <w:tr w:rsidR="00F02794" w:rsidRPr="00F40195" w:rsidTr="002F335C">
        <w:trPr>
          <w:trHeight w:val="719"/>
        </w:trPr>
        <w:tc>
          <w:tcPr>
            <w:tcW w:w="2952" w:type="dxa"/>
            <w:vAlign w:val="center"/>
          </w:tcPr>
          <w:p w:rsidR="00F02794" w:rsidRPr="00F40195" w:rsidRDefault="00F02794" w:rsidP="00F40195">
            <w:pPr>
              <w:jc w:val="center"/>
            </w:pPr>
            <w:r w:rsidRPr="00F40195">
              <w:t>Ohio</w:t>
            </w:r>
          </w:p>
        </w:tc>
        <w:tc>
          <w:tcPr>
            <w:tcW w:w="2952" w:type="dxa"/>
            <w:vAlign w:val="center"/>
          </w:tcPr>
          <w:p w:rsidR="00F02794" w:rsidRPr="00F40195" w:rsidRDefault="00F02794" w:rsidP="00F40195">
            <w:pPr>
              <w:jc w:val="center"/>
            </w:pPr>
            <w:r w:rsidRPr="00F40195">
              <w:t>Allowable reimbursements</w:t>
            </w:r>
          </w:p>
        </w:tc>
        <w:tc>
          <w:tcPr>
            <w:tcW w:w="2952" w:type="dxa"/>
            <w:vAlign w:val="center"/>
          </w:tcPr>
          <w:p w:rsidR="00F02794" w:rsidRPr="00F40195" w:rsidRDefault="00F02794" w:rsidP="00F40195">
            <w:pPr>
              <w:jc w:val="center"/>
            </w:pPr>
            <w:r w:rsidRPr="00F40195">
              <w:t>Project grants</w:t>
            </w:r>
          </w:p>
        </w:tc>
      </w:tr>
      <w:tr w:rsidR="00F02794" w:rsidRPr="00F40195" w:rsidTr="002F335C">
        <w:trPr>
          <w:trHeight w:val="710"/>
        </w:trPr>
        <w:tc>
          <w:tcPr>
            <w:tcW w:w="2952" w:type="dxa"/>
            <w:vAlign w:val="center"/>
          </w:tcPr>
          <w:p w:rsidR="00F02794" w:rsidRPr="00F40195" w:rsidRDefault="00F02794" w:rsidP="00F40195">
            <w:pPr>
              <w:jc w:val="center"/>
            </w:pPr>
            <w:r w:rsidRPr="00F40195">
              <w:t>Tennessee</w:t>
            </w:r>
          </w:p>
        </w:tc>
        <w:tc>
          <w:tcPr>
            <w:tcW w:w="2952" w:type="dxa"/>
            <w:vAlign w:val="center"/>
          </w:tcPr>
          <w:p w:rsidR="00F02794" w:rsidRPr="00F40195" w:rsidRDefault="00F02794" w:rsidP="00F40195">
            <w:pPr>
              <w:jc w:val="center"/>
            </w:pPr>
            <w:r w:rsidRPr="00F40195">
              <w:t>Transportation funds provided in the primary funding formula</w:t>
            </w:r>
          </w:p>
        </w:tc>
        <w:tc>
          <w:tcPr>
            <w:tcW w:w="2952" w:type="dxa"/>
            <w:vAlign w:val="center"/>
          </w:tcPr>
          <w:p w:rsidR="00F02794" w:rsidRPr="00F40195" w:rsidRDefault="00F02794" w:rsidP="00F40195">
            <w:pPr>
              <w:jc w:val="center"/>
            </w:pPr>
            <w:r w:rsidRPr="00F40195">
              <w:t>Funding provided in the primary formula. The following are the estimate per pupil amounts: K-4; $662, Grades 5-8; $729, Grades 9-12; $848</w:t>
            </w:r>
          </w:p>
        </w:tc>
      </w:tr>
      <w:tr w:rsidR="00F02794" w:rsidRPr="00F40195" w:rsidTr="002F335C">
        <w:trPr>
          <w:trHeight w:val="971"/>
        </w:trPr>
        <w:tc>
          <w:tcPr>
            <w:tcW w:w="2952" w:type="dxa"/>
            <w:vAlign w:val="center"/>
          </w:tcPr>
          <w:p w:rsidR="00F02794" w:rsidRPr="00F40195" w:rsidRDefault="00F02794" w:rsidP="00F40195">
            <w:pPr>
              <w:jc w:val="center"/>
            </w:pPr>
            <w:r w:rsidRPr="00F40195">
              <w:t>West Virginia</w:t>
            </w:r>
          </w:p>
        </w:tc>
        <w:tc>
          <w:tcPr>
            <w:tcW w:w="2952" w:type="dxa"/>
            <w:vAlign w:val="center"/>
          </w:tcPr>
          <w:p w:rsidR="00F02794" w:rsidRPr="00F40195" w:rsidRDefault="00F02794" w:rsidP="00F40195">
            <w:pPr>
              <w:jc w:val="center"/>
            </w:pPr>
            <w:r w:rsidRPr="00F40195">
              <w:t>Transportation funds provided in the primary funding formula</w:t>
            </w:r>
          </w:p>
        </w:tc>
        <w:tc>
          <w:tcPr>
            <w:tcW w:w="2952" w:type="dxa"/>
            <w:vAlign w:val="center"/>
          </w:tcPr>
          <w:p w:rsidR="00F02794" w:rsidRPr="00F40195" w:rsidRDefault="00F02794" w:rsidP="00F40195">
            <w:pPr>
              <w:jc w:val="center"/>
            </w:pPr>
            <w:r w:rsidRPr="00F40195">
              <w:t>No state funding</w:t>
            </w:r>
          </w:p>
        </w:tc>
      </w:tr>
    </w:tbl>
    <w:p w:rsidR="00F02794" w:rsidRPr="00F40195" w:rsidRDefault="00F02794" w:rsidP="00F40195">
      <w:pPr>
        <w:spacing w:line="240" w:lineRule="auto"/>
        <w:rPr>
          <w:rFonts w:cs="Times New Roman"/>
          <w:sz w:val="22"/>
        </w:rPr>
      </w:pPr>
    </w:p>
    <w:p w:rsidR="00747BDE" w:rsidRDefault="00747BDE">
      <w:pPr>
        <w:rPr>
          <w:rFonts w:eastAsiaTheme="majorEastAsia" w:cs="Times New Roman"/>
          <w:b/>
          <w:bCs/>
          <w:caps/>
          <w:szCs w:val="24"/>
        </w:rPr>
      </w:pPr>
      <w:bookmarkStart w:id="33" w:name="_Toc385250709"/>
      <w:r>
        <w:br w:type="page"/>
      </w:r>
    </w:p>
    <w:p w:rsidR="00F02794" w:rsidRPr="00F40195" w:rsidRDefault="00EC6DF4" w:rsidP="00EC6DF4">
      <w:pPr>
        <w:pStyle w:val="Heading3"/>
      </w:pPr>
      <w:bookmarkStart w:id="34" w:name="_Toc395180651"/>
      <w:bookmarkEnd w:id="33"/>
      <w:r>
        <w:lastRenderedPageBreak/>
        <w:t>State Funding Comparisons</w:t>
      </w:r>
      <w:bookmarkEnd w:id="34"/>
    </w:p>
    <w:p w:rsidR="00F02794" w:rsidRPr="00F40195" w:rsidRDefault="00F02794" w:rsidP="00F40195">
      <w:pPr>
        <w:widowControl w:val="0"/>
        <w:autoSpaceDE w:val="0"/>
        <w:autoSpaceDN w:val="0"/>
        <w:adjustRightInd w:val="0"/>
        <w:spacing w:after="240" w:line="240" w:lineRule="auto"/>
        <w:contextualSpacing/>
        <w:rPr>
          <w:rFonts w:cs="Times New Roman"/>
        </w:rPr>
      </w:pPr>
      <w:r w:rsidRPr="00F40195">
        <w:rPr>
          <w:rFonts w:cs="Times New Roman"/>
        </w:rPr>
        <w:t xml:space="preserve">As part of this study, we compared education funding and student performance in Kentucky to all 50 states and conducted a more in-depth </w:t>
      </w:r>
      <w:r w:rsidR="008C7848">
        <w:rPr>
          <w:rFonts w:cs="Times New Roman"/>
        </w:rPr>
        <w:t xml:space="preserve">comparative </w:t>
      </w:r>
      <w:r w:rsidRPr="00F40195">
        <w:rPr>
          <w:rFonts w:cs="Times New Roman"/>
        </w:rPr>
        <w:t xml:space="preserve">analysis </w:t>
      </w:r>
      <w:r w:rsidR="008C7848">
        <w:rPr>
          <w:rFonts w:cs="Times New Roman"/>
        </w:rPr>
        <w:t xml:space="preserve">with the </w:t>
      </w:r>
      <w:r w:rsidRPr="00F40195">
        <w:rPr>
          <w:rFonts w:cs="Times New Roman"/>
        </w:rPr>
        <w:t xml:space="preserve">seven </w:t>
      </w:r>
      <w:r w:rsidR="008C7848">
        <w:rPr>
          <w:rFonts w:cs="Times New Roman"/>
        </w:rPr>
        <w:t>similar</w:t>
      </w:r>
      <w:r w:rsidRPr="00F40195">
        <w:rPr>
          <w:rFonts w:cs="Times New Roman"/>
        </w:rPr>
        <w:t xml:space="preserve"> states. Educational expenditure, demographic and student achievement data were reviewed for all 50 states beginning with fiscal year 2000-2001 through 2012-13.</w:t>
      </w:r>
    </w:p>
    <w:p w:rsidR="00F02794" w:rsidRPr="00F40195" w:rsidRDefault="00F02794" w:rsidP="008D674A">
      <w:pPr>
        <w:pStyle w:val="Heading3"/>
      </w:pPr>
      <w:bookmarkStart w:id="35" w:name="_Toc385250710"/>
      <w:bookmarkStart w:id="36" w:name="_Toc395180652"/>
      <w:r w:rsidRPr="00F40195">
        <w:t>Educational Expenditures</w:t>
      </w:r>
      <w:bookmarkEnd w:id="35"/>
      <w:bookmarkEnd w:id="36"/>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i/>
          <w:iCs/>
        </w:rPr>
        <w:t>Total K-12 Expenditures</w:t>
      </w:r>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A review of data from the United States Census Bureau (U.S. Census) shows that from fiscal year 2001-02 to 2010-11 state and local revenue for public K-12 education in Kentucky grew from $4.13 billion to $5.94 billion - an increase of just over $1.8 billion</w:t>
      </w:r>
      <w:r w:rsidR="00371FF9" w:rsidRPr="00F40195">
        <w:rPr>
          <w:rFonts w:cs="Times New Roman"/>
        </w:rPr>
        <w:t>,</w:t>
      </w:r>
      <w:r w:rsidRPr="00F40195">
        <w:rPr>
          <w:rFonts w:cs="Times New Roman"/>
        </w:rPr>
        <w:t xml:space="preserve"> or 43.7</w:t>
      </w:r>
      <w:r w:rsidR="00371FF9" w:rsidRPr="00F40195">
        <w:rPr>
          <w:rFonts w:cs="Times New Roman"/>
        </w:rPr>
        <w:t xml:space="preserve"> percent</w:t>
      </w:r>
      <w:r w:rsidRPr="00F40195">
        <w:rPr>
          <w:rFonts w:cs="Times New Roman"/>
        </w:rPr>
        <w:t>. During this same</w:t>
      </w:r>
      <w:r w:rsidR="009B4125">
        <w:rPr>
          <w:rFonts w:cs="Times New Roman"/>
        </w:rPr>
        <w:t xml:space="preserve"> </w:t>
      </w:r>
      <w:r w:rsidRPr="00F40195">
        <w:rPr>
          <w:rFonts w:cs="Times New Roman"/>
        </w:rPr>
        <w:t>period</w:t>
      </w:r>
      <w:r w:rsidR="004E380C">
        <w:rPr>
          <w:rFonts w:cs="Times New Roman"/>
        </w:rPr>
        <w:t>,</w:t>
      </w:r>
      <w:r w:rsidRPr="00F40195">
        <w:rPr>
          <w:rFonts w:cs="Times New Roman"/>
        </w:rPr>
        <w:t xml:space="preserve"> state and local revenue for K-12 education in all 50 states increased by 35.7</w:t>
      </w:r>
      <w:r w:rsidR="004E380C">
        <w:rPr>
          <w:rFonts w:cs="Times New Roman"/>
        </w:rPr>
        <w:t xml:space="preserve"> </w:t>
      </w:r>
      <w:r w:rsidR="00371FF9" w:rsidRPr="00F40195">
        <w:rPr>
          <w:rFonts w:cs="Times New Roman"/>
        </w:rPr>
        <w:t>percent</w:t>
      </w:r>
      <w:r w:rsidRPr="00F40195">
        <w:rPr>
          <w:rFonts w:cs="Times New Roman"/>
        </w:rPr>
        <w:t xml:space="preserve"> ($138.3 billion). In the seven comparative states, local and state revenue for education increased at the rate of 29.9</w:t>
      </w:r>
      <w:r w:rsidR="00371FF9" w:rsidRPr="00F40195">
        <w:rPr>
          <w:rFonts w:cs="Times New Roman"/>
        </w:rPr>
        <w:t xml:space="preserve"> percent</w:t>
      </w:r>
      <w:r w:rsidRPr="00F40195">
        <w:rPr>
          <w:rFonts w:cs="Times New Roman"/>
        </w:rPr>
        <w:t xml:space="preserve"> ($13.9 billion). Table 2.3 shows these changes for all seven comparative states.</w:t>
      </w:r>
    </w:p>
    <w:p w:rsidR="00CC79D7" w:rsidRDefault="00CC79D7" w:rsidP="00CC79D7">
      <w:pPr>
        <w:widowControl w:val="0"/>
        <w:autoSpaceDE w:val="0"/>
        <w:autoSpaceDN w:val="0"/>
        <w:adjustRightInd w:val="0"/>
        <w:spacing w:after="240" w:line="240" w:lineRule="auto"/>
        <w:contextualSpacing/>
        <w:jc w:val="center"/>
        <w:rPr>
          <w:rFonts w:cs="Times New Roman"/>
          <w:b/>
          <w:bCs/>
        </w:rPr>
      </w:pPr>
      <w:r>
        <w:rPr>
          <w:rFonts w:cs="Times New Roman"/>
          <w:b/>
          <w:bCs/>
        </w:rPr>
        <w:t>Table 2.3</w:t>
      </w:r>
    </w:p>
    <w:p w:rsidR="00F02794" w:rsidRDefault="00F02794" w:rsidP="00CC79D7">
      <w:pPr>
        <w:widowControl w:val="0"/>
        <w:autoSpaceDE w:val="0"/>
        <w:autoSpaceDN w:val="0"/>
        <w:adjustRightInd w:val="0"/>
        <w:spacing w:after="240" w:line="240" w:lineRule="auto"/>
        <w:contextualSpacing/>
        <w:jc w:val="center"/>
        <w:rPr>
          <w:rFonts w:cs="Times New Roman"/>
          <w:b/>
          <w:bCs/>
        </w:rPr>
      </w:pPr>
      <w:r w:rsidRPr="00F40195">
        <w:rPr>
          <w:rFonts w:cs="Times New Roman"/>
          <w:b/>
          <w:bCs/>
        </w:rPr>
        <w:t>Growth in Local &amp; State Revenue for K-12 Education</w:t>
      </w:r>
    </w:p>
    <w:p w:rsidR="00CC79D7" w:rsidRPr="00F40195" w:rsidRDefault="00CC79D7" w:rsidP="00CC79D7">
      <w:pPr>
        <w:widowControl w:val="0"/>
        <w:autoSpaceDE w:val="0"/>
        <w:autoSpaceDN w:val="0"/>
        <w:adjustRightInd w:val="0"/>
        <w:spacing w:after="240" w:line="240" w:lineRule="auto"/>
        <w:contextualSpacing/>
        <w:jc w:val="center"/>
        <w:rPr>
          <w:rFonts w:cs="Times New Roman"/>
          <w:b/>
          <w:bCs/>
        </w:rPr>
      </w:pPr>
    </w:p>
    <w:tbl>
      <w:tblPr>
        <w:tblStyle w:val="TableGrid"/>
        <w:tblW w:w="0" w:type="auto"/>
        <w:tblInd w:w="-612" w:type="dxa"/>
        <w:tblLook w:val="04A0" w:firstRow="1" w:lastRow="0" w:firstColumn="1" w:lastColumn="0" w:noHBand="0" w:noVBand="1"/>
      </w:tblPr>
      <w:tblGrid>
        <w:gridCol w:w="1995"/>
        <w:gridCol w:w="1992"/>
        <w:gridCol w:w="1956"/>
        <w:gridCol w:w="1956"/>
        <w:gridCol w:w="1569"/>
      </w:tblGrid>
      <w:tr w:rsidR="00F02794" w:rsidRPr="00F40195" w:rsidTr="002F335C">
        <w:trPr>
          <w:trHeight w:val="432"/>
        </w:trPr>
        <w:tc>
          <w:tcPr>
            <w:tcW w:w="1995" w:type="dxa"/>
            <w:vMerge w:val="restart"/>
            <w:vAlign w:val="center"/>
          </w:tcPr>
          <w:p w:rsidR="00F02794" w:rsidRPr="00F40195" w:rsidRDefault="00F02794" w:rsidP="00F40195">
            <w:pPr>
              <w:widowControl w:val="0"/>
              <w:autoSpaceDE w:val="0"/>
              <w:autoSpaceDN w:val="0"/>
              <w:adjustRightInd w:val="0"/>
              <w:spacing w:after="240"/>
              <w:contextualSpacing/>
            </w:pPr>
          </w:p>
        </w:tc>
        <w:tc>
          <w:tcPr>
            <w:tcW w:w="3948" w:type="dxa"/>
            <w:gridSpan w:val="2"/>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State and Local K-12 Revenue</w:t>
            </w:r>
          </w:p>
        </w:tc>
        <w:tc>
          <w:tcPr>
            <w:tcW w:w="3525" w:type="dxa"/>
            <w:gridSpan w:val="2"/>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Change from</w:t>
            </w:r>
          </w:p>
          <w:p w:rsidR="00F02794" w:rsidRPr="00F40195" w:rsidRDefault="00F02794" w:rsidP="00F40195">
            <w:pPr>
              <w:widowControl w:val="0"/>
              <w:autoSpaceDE w:val="0"/>
              <w:autoSpaceDN w:val="0"/>
              <w:adjustRightInd w:val="0"/>
              <w:spacing w:after="240"/>
              <w:contextualSpacing/>
              <w:jc w:val="center"/>
            </w:pPr>
            <w:r w:rsidRPr="00F40195">
              <w:t>FY 2001-02 to FY 2010-11</w:t>
            </w:r>
          </w:p>
        </w:tc>
      </w:tr>
      <w:tr w:rsidR="00F02794" w:rsidRPr="00F40195" w:rsidTr="002F335C">
        <w:trPr>
          <w:trHeight w:val="432"/>
        </w:trPr>
        <w:tc>
          <w:tcPr>
            <w:tcW w:w="1995" w:type="dxa"/>
            <w:vMerge/>
            <w:vAlign w:val="center"/>
          </w:tcPr>
          <w:p w:rsidR="00F02794" w:rsidRPr="00F40195" w:rsidRDefault="00F02794" w:rsidP="00F40195">
            <w:pPr>
              <w:widowControl w:val="0"/>
              <w:autoSpaceDE w:val="0"/>
              <w:autoSpaceDN w:val="0"/>
              <w:adjustRightInd w:val="0"/>
              <w:spacing w:after="240"/>
              <w:contextualSpacing/>
              <w:jc w:val="center"/>
            </w:pPr>
          </w:p>
        </w:tc>
        <w:tc>
          <w:tcPr>
            <w:tcW w:w="1992" w:type="dxa"/>
            <w:vAlign w:val="center"/>
          </w:tcPr>
          <w:p w:rsidR="00F02794" w:rsidRPr="00F40195" w:rsidRDefault="00F02794" w:rsidP="00F40195">
            <w:pPr>
              <w:widowControl w:val="0"/>
              <w:autoSpaceDE w:val="0"/>
              <w:autoSpaceDN w:val="0"/>
              <w:adjustRightInd w:val="0"/>
              <w:spacing w:after="240"/>
              <w:contextualSpacing/>
              <w:jc w:val="center"/>
            </w:pPr>
            <w:r w:rsidRPr="00F40195">
              <w:t>FY 2001-02</w:t>
            </w:r>
          </w:p>
        </w:tc>
        <w:tc>
          <w:tcPr>
            <w:tcW w:w="195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FY 2010-11</w:t>
            </w:r>
          </w:p>
        </w:tc>
        <w:tc>
          <w:tcPr>
            <w:tcW w:w="195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Dollars</w:t>
            </w:r>
          </w:p>
        </w:tc>
        <w:tc>
          <w:tcPr>
            <w:tcW w:w="1569" w:type="dxa"/>
            <w:vAlign w:val="center"/>
          </w:tcPr>
          <w:p w:rsidR="00F02794" w:rsidRPr="00F40195" w:rsidRDefault="00F02794" w:rsidP="00F40195">
            <w:pPr>
              <w:widowControl w:val="0"/>
              <w:autoSpaceDE w:val="0"/>
              <w:autoSpaceDN w:val="0"/>
              <w:adjustRightInd w:val="0"/>
              <w:spacing w:after="240"/>
              <w:contextualSpacing/>
              <w:jc w:val="center"/>
            </w:pPr>
            <w:r w:rsidRPr="00F40195">
              <w:t>Percentages</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1992" w:type="dxa"/>
            <w:vAlign w:val="center"/>
          </w:tcPr>
          <w:p w:rsidR="00F02794" w:rsidRPr="00F40195" w:rsidRDefault="00F02794" w:rsidP="00F40195">
            <w:pPr>
              <w:widowControl w:val="0"/>
              <w:autoSpaceDE w:val="0"/>
              <w:autoSpaceDN w:val="0"/>
              <w:adjustRightInd w:val="0"/>
              <w:spacing w:after="240"/>
              <w:contextualSpacing/>
              <w:jc w:val="right"/>
            </w:pPr>
            <w:r w:rsidRPr="00F40195">
              <w:t>$387,094,037</w:t>
            </w:r>
          </w:p>
        </w:tc>
        <w:tc>
          <w:tcPr>
            <w:tcW w:w="195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$525,438,983</w:t>
            </w:r>
          </w:p>
        </w:tc>
        <w:tc>
          <w:tcPr>
            <w:tcW w:w="195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$138,344,946</w:t>
            </w:r>
          </w:p>
        </w:tc>
        <w:tc>
          <w:tcPr>
            <w:tcW w:w="1569" w:type="dxa"/>
            <w:vAlign w:val="center"/>
          </w:tcPr>
          <w:p w:rsidR="00F02794" w:rsidRPr="00F40195" w:rsidRDefault="00F02794" w:rsidP="00F40195">
            <w:pPr>
              <w:widowControl w:val="0"/>
              <w:autoSpaceDE w:val="0"/>
              <w:autoSpaceDN w:val="0"/>
              <w:adjustRightInd w:val="0"/>
              <w:spacing w:after="240"/>
              <w:contextualSpacing/>
              <w:jc w:val="center"/>
            </w:pPr>
            <w:r w:rsidRPr="00F40195">
              <w:t>35.7%</w:t>
            </w:r>
          </w:p>
        </w:tc>
      </w:tr>
      <w:tr w:rsidR="00F02794" w:rsidRPr="00F40195" w:rsidTr="002F335C">
        <w:trPr>
          <w:trHeight w:val="432"/>
        </w:trPr>
        <w:tc>
          <w:tcPr>
            <w:tcW w:w="1995"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Comparative States</w:t>
            </w:r>
          </w:p>
        </w:tc>
        <w:tc>
          <w:tcPr>
            <w:tcW w:w="1992"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$46,600,355</w:t>
            </w:r>
          </w:p>
        </w:tc>
        <w:tc>
          <w:tcPr>
            <w:tcW w:w="1956" w:type="dxa"/>
            <w:tcBorders>
              <w:bottom w:val="thinThickSmallGap" w:sz="2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$60,533,830</w:t>
            </w:r>
          </w:p>
        </w:tc>
        <w:tc>
          <w:tcPr>
            <w:tcW w:w="1956" w:type="dxa"/>
            <w:tcBorders>
              <w:left w:val="thinThickSmallGap" w:sz="24" w:space="0" w:color="auto"/>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$13,933,475</w:t>
            </w:r>
          </w:p>
        </w:tc>
        <w:tc>
          <w:tcPr>
            <w:tcW w:w="1569"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29.9%</w:t>
            </w:r>
          </w:p>
        </w:tc>
      </w:tr>
      <w:tr w:rsidR="00F02794" w:rsidRPr="00F40195" w:rsidTr="002F335C">
        <w:trPr>
          <w:trHeight w:val="432"/>
        </w:trPr>
        <w:tc>
          <w:tcPr>
            <w:tcW w:w="1995"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1992"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$4,133,414</w:t>
            </w:r>
          </w:p>
        </w:tc>
        <w:tc>
          <w:tcPr>
            <w:tcW w:w="1956"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$5,938,604</w:t>
            </w:r>
          </w:p>
        </w:tc>
        <w:tc>
          <w:tcPr>
            <w:tcW w:w="1956"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$1,805,190</w:t>
            </w:r>
          </w:p>
        </w:tc>
        <w:tc>
          <w:tcPr>
            <w:tcW w:w="1569"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center"/>
              <w:rPr>
                <w:color w:val="000000"/>
              </w:rPr>
            </w:pPr>
            <w:r w:rsidRPr="00F40195">
              <w:rPr>
                <w:color w:val="000000"/>
              </w:rPr>
              <w:t>43.7%</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1992" w:type="dxa"/>
            <w:vAlign w:val="center"/>
          </w:tcPr>
          <w:p w:rsidR="00F02794" w:rsidRPr="00F40195" w:rsidRDefault="00F02794" w:rsidP="00F40195">
            <w:pPr>
              <w:contextualSpacing/>
              <w:jc w:val="right"/>
            </w:pPr>
            <w:r w:rsidRPr="00F40195">
              <w:t>$4,618,431</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$6,298,086</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$1,679,655</w:t>
            </w:r>
          </w:p>
        </w:tc>
        <w:tc>
          <w:tcPr>
            <w:tcW w:w="1569" w:type="dxa"/>
            <w:vAlign w:val="center"/>
          </w:tcPr>
          <w:p w:rsidR="00F02794" w:rsidRPr="00F40195" w:rsidRDefault="00F02794" w:rsidP="00F40195">
            <w:pPr>
              <w:contextualSpacing/>
              <w:jc w:val="center"/>
              <w:rPr>
                <w:color w:val="000000"/>
              </w:rPr>
            </w:pPr>
            <w:r w:rsidRPr="00F40195">
              <w:rPr>
                <w:color w:val="000000"/>
              </w:rPr>
              <w:t>36.4%</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1992" w:type="dxa"/>
            <w:vAlign w:val="center"/>
          </w:tcPr>
          <w:p w:rsidR="00F02794" w:rsidRPr="00F40195" w:rsidRDefault="00F02794" w:rsidP="00F40195">
            <w:pPr>
              <w:contextualSpacing/>
              <w:jc w:val="right"/>
            </w:pPr>
            <w:r w:rsidRPr="00F40195">
              <w:t>$2,804,754</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$4,329,791</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$1,525,037</w:t>
            </w:r>
          </w:p>
        </w:tc>
        <w:tc>
          <w:tcPr>
            <w:tcW w:w="1569" w:type="dxa"/>
            <w:vAlign w:val="center"/>
          </w:tcPr>
          <w:p w:rsidR="00F02794" w:rsidRPr="00F40195" w:rsidRDefault="00F02794" w:rsidP="00F40195">
            <w:pPr>
              <w:contextualSpacing/>
              <w:jc w:val="center"/>
              <w:rPr>
                <w:color w:val="000000"/>
              </w:rPr>
            </w:pPr>
            <w:r w:rsidRPr="00F40195">
              <w:rPr>
                <w:color w:val="000000"/>
              </w:rPr>
              <w:t>54.4%</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1992" w:type="dxa"/>
            <w:vAlign w:val="center"/>
          </w:tcPr>
          <w:p w:rsidR="00F02794" w:rsidRPr="00F40195" w:rsidRDefault="00F02794" w:rsidP="00F40195">
            <w:pPr>
              <w:contextualSpacing/>
              <w:jc w:val="right"/>
            </w:pPr>
            <w:r w:rsidRPr="00F40195">
              <w:t>$8,511,536</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$10,827,175</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$2,315,639</w:t>
            </w:r>
          </w:p>
        </w:tc>
        <w:tc>
          <w:tcPr>
            <w:tcW w:w="1569" w:type="dxa"/>
            <w:vAlign w:val="center"/>
          </w:tcPr>
          <w:p w:rsidR="00F02794" w:rsidRPr="00F40195" w:rsidRDefault="00F02794" w:rsidP="00F40195">
            <w:pPr>
              <w:contextualSpacing/>
              <w:jc w:val="center"/>
              <w:rPr>
                <w:color w:val="000000"/>
              </w:rPr>
            </w:pPr>
            <w:r w:rsidRPr="00F40195">
              <w:rPr>
                <w:color w:val="000000"/>
              </w:rPr>
              <w:t>27.2%</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1992" w:type="dxa"/>
            <w:vAlign w:val="center"/>
          </w:tcPr>
          <w:p w:rsidR="00F02794" w:rsidRPr="00F40195" w:rsidRDefault="00F02794" w:rsidP="00F40195">
            <w:pPr>
              <w:contextualSpacing/>
              <w:jc w:val="right"/>
            </w:pPr>
            <w:r w:rsidRPr="00F40195">
              <w:t>$6,852,442</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$8,498,185</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$1,645,743</w:t>
            </w:r>
          </w:p>
        </w:tc>
        <w:tc>
          <w:tcPr>
            <w:tcW w:w="1569" w:type="dxa"/>
            <w:vAlign w:val="center"/>
          </w:tcPr>
          <w:p w:rsidR="00F02794" w:rsidRPr="00F40195" w:rsidRDefault="00F02794" w:rsidP="00F40195">
            <w:pPr>
              <w:contextualSpacing/>
              <w:jc w:val="center"/>
              <w:rPr>
                <w:color w:val="000000"/>
              </w:rPr>
            </w:pPr>
            <w:r w:rsidRPr="00F40195">
              <w:rPr>
                <w:color w:val="000000"/>
              </w:rPr>
              <w:t>24.0%</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1992" w:type="dxa"/>
            <w:vAlign w:val="center"/>
          </w:tcPr>
          <w:p w:rsidR="00F02794" w:rsidRPr="00F40195" w:rsidRDefault="00F02794" w:rsidP="00F40195">
            <w:pPr>
              <w:contextualSpacing/>
              <w:jc w:val="right"/>
            </w:pPr>
            <w:r w:rsidRPr="00F40195">
              <w:t>$16,446,985</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$20,253,505</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$3,806,520</w:t>
            </w:r>
          </w:p>
        </w:tc>
        <w:tc>
          <w:tcPr>
            <w:tcW w:w="1569" w:type="dxa"/>
            <w:vAlign w:val="center"/>
          </w:tcPr>
          <w:p w:rsidR="00F02794" w:rsidRPr="00F40195" w:rsidRDefault="00F02794" w:rsidP="00F40195">
            <w:pPr>
              <w:contextualSpacing/>
              <w:jc w:val="center"/>
              <w:rPr>
                <w:color w:val="000000"/>
              </w:rPr>
            </w:pPr>
            <w:r w:rsidRPr="00F40195">
              <w:rPr>
                <w:color w:val="000000"/>
              </w:rPr>
              <w:t>23.1%</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1992" w:type="dxa"/>
            <w:vAlign w:val="center"/>
          </w:tcPr>
          <w:p w:rsidR="00F02794" w:rsidRPr="00F40195" w:rsidRDefault="00F02794" w:rsidP="00F40195">
            <w:pPr>
              <w:contextualSpacing/>
              <w:jc w:val="right"/>
            </w:pPr>
            <w:r w:rsidRPr="00F40195">
              <w:t>$5,210,998</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$7,372,769</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$2,161,771</w:t>
            </w:r>
          </w:p>
        </w:tc>
        <w:tc>
          <w:tcPr>
            <w:tcW w:w="1569" w:type="dxa"/>
            <w:vAlign w:val="center"/>
          </w:tcPr>
          <w:p w:rsidR="00F02794" w:rsidRPr="00F40195" w:rsidRDefault="00F02794" w:rsidP="00F40195">
            <w:pPr>
              <w:contextualSpacing/>
              <w:jc w:val="center"/>
              <w:rPr>
                <w:color w:val="000000"/>
              </w:rPr>
            </w:pPr>
            <w:r w:rsidRPr="00F40195">
              <w:rPr>
                <w:color w:val="000000"/>
              </w:rPr>
              <w:t>41.5%</w:t>
            </w:r>
          </w:p>
        </w:tc>
      </w:tr>
      <w:tr w:rsidR="00F02794" w:rsidRPr="00F40195" w:rsidTr="002F335C">
        <w:trPr>
          <w:trHeight w:val="432"/>
        </w:trPr>
        <w:tc>
          <w:tcPr>
            <w:tcW w:w="1995"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1992" w:type="dxa"/>
            <w:vAlign w:val="center"/>
          </w:tcPr>
          <w:p w:rsidR="00F02794" w:rsidRPr="00F40195" w:rsidRDefault="00F02794" w:rsidP="00F40195">
            <w:pPr>
              <w:contextualSpacing/>
              <w:jc w:val="right"/>
            </w:pPr>
            <w:r w:rsidRPr="00F40195">
              <w:t>$2,076,145</w:t>
            </w:r>
          </w:p>
        </w:tc>
        <w:tc>
          <w:tcPr>
            <w:tcW w:w="1956" w:type="dxa"/>
            <w:tcBorders>
              <w:right w:val="thinThickSmallGap" w:sz="24" w:space="0" w:color="auto"/>
            </w:tcBorders>
            <w:vAlign w:val="center"/>
          </w:tcPr>
          <w:p w:rsidR="00F02794" w:rsidRPr="00F40195" w:rsidRDefault="00F02794" w:rsidP="00F40195">
            <w:pPr>
              <w:contextualSpacing/>
              <w:jc w:val="right"/>
              <w:rPr>
                <w:color w:val="000000"/>
              </w:rPr>
            </w:pPr>
            <w:r w:rsidRPr="00F40195">
              <w:rPr>
                <w:color w:val="000000"/>
              </w:rPr>
              <w:t>$2,954,319</w:t>
            </w:r>
          </w:p>
        </w:tc>
        <w:tc>
          <w:tcPr>
            <w:tcW w:w="1956"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$799,110</w:t>
            </w:r>
          </w:p>
        </w:tc>
        <w:tc>
          <w:tcPr>
            <w:tcW w:w="1569" w:type="dxa"/>
            <w:vAlign w:val="center"/>
          </w:tcPr>
          <w:p w:rsidR="00F02794" w:rsidRPr="00F40195" w:rsidRDefault="00F02794" w:rsidP="00F40195">
            <w:pPr>
              <w:contextualSpacing/>
              <w:jc w:val="center"/>
              <w:rPr>
                <w:color w:val="000000"/>
              </w:rPr>
            </w:pPr>
            <w:r w:rsidRPr="00F40195">
              <w:rPr>
                <w:color w:val="000000"/>
              </w:rPr>
              <w:t>37.1%</w:t>
            </w:r>
          </w:p>
        </w:tc>
      </w:tr>
    </w:tbl>
    <w:p w:rsidR="00F02794" w:rsidRPr="00F40195" w:rsidRDefault="00F02794" w:rsidP="00F40195">
      <w:pPr>
        <w:widowControl w:val="0"/>
        <w:tabs>
          <w:tab w:val="right" w:pos="9360"/>
        </w:tabs>
        <w:autoSpaceDE w:val="0"/>
        <w:autoSpaceDN w:val="0"/>
        <w:adjustRightInd w:val="0"/>
        <w:spacing w:after="240" w:line="240" w:lineRule="auto"/>
        <w:rPr>
          <w:rFonts w:cs="Times New Roman"/>
        </w:rPr>
      </w:pPr>
      <w:r w:rsidRPr="00F40195">
        <w:rPr>
          <w:rFonts w:cs="Times New Roman"/>
        </w:rPr>
        <w:t>Source: United States Census Bureau</w:t>
      </w:r>
      <w:r w:rsidR="00E2519A">
        <w:rPr>
          <w:rFonts w:cs="Times New Roman"/>
        </w:rPr>
        <w:t xml:space="preserve"> (2014)</w:t>
      </w:r>
      <w:r w:rsidR="00083C3D" w:rsidRPr="00F40195">
        <w:rPr>
          <w:rFonts w:cs="Times New Roman"/>
        </w:rPr>
        <w:tab/>
      </w:r>
    </w:p>
    <w:p w:rsidR="00F02794" w:rsidRPr="00F40195" w:rsidRDefault="00F02794" w:rsidP="008D674A">
      <w:pPr>
        <w:pStyle w:val="Heading3"/>
      </w:pPr>
      <w:bookmarkStart w:id="37" w:name="_Toc385250711"/>
      <w:bookmarkStart w:id="38" w:name="_Toc395180653"/>
      <w:r w:rsidRPr="00F40195">
        <w:lastRenderedPageBreak/>
        <w:t>Per Student Expenditures</w:t>
      </w:r>
      <w:bookmarkEnd w:id="37"/>
      <w:bookmarkEnd w:id="38"/>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As shown in Table 2.4, in FY 2002-03 Kentucky’s average per pupil expenditure was $7,242, ranking 29</w:t>
      </w:r>
      <w:r w:rsidRPr="00F40195">
        <w:rPr>
          <w:rFonts w:cs="Times New Roman"/>
          <w:vertAlign w:val="superscript"/>
        </w:rPr>
        <w:t>th</w:t>
      </w:r>
      <w:r w:rsidRPr="00F40195">
        <w:rPr>
          <w:rFonts w:cs="Times New Roman"/>
        </w:rPr>
        <w:t xml:space="preserve"> highest in the nation – $633 or 8.0</w:t>
      </w:r>
      <w:r w:rsidR="00371FF9" w:rsidRPr="00F40195">
        <w:rPr>
          <w:rFonts w:cs="Times New Roman"/>
        </w:rPr>
        <w:t xml:space="preserve"> percent</w:t>
      </w:r>
      <w:r w:rsidRPr="00F40195">
        <w:rPr>
          <w:rFonts w:cs="Times New Roman"/>
        </w:rPr>
        <w:t xml:space="preserve"> below the national average of $7,875 per pupil. In 2012-13 Kentucky’s average per pupil expenditure grew to $9,891, which was $1,177 or 10.6</w:t>
      </w:r>
      <w:r w:rsidR="00371FF9" w:rsidRPr="00F40195">
        <w:rPr>
          <w:rFonts w:cs="Times New Roman"/>
        </w:rPr>
        <w:t xml:space="preserve"> percent</w:t>
      </w:r>
      <w:r w:rsidRPr="00F40195">
        <w:rPr>
          <w:rFonts w:cs="Times New Roman"/>
        </w:rPr>
        <w:t xml:space="preserve"> below the national average of $11,068. Kentucky’s 20</w:t>
      </w:r>
      <w:r w:rsidR="00901CFB" w:rsidRPr="00F40195">
        <w:rPr>
          <w:rFonts w:cs="Times New Roman"/>
        </w:rPr>
        <w:t>1</w:t>
      </w:r>
      <w:r w:rsidRPr="00F40195">
        <w:rPr>
          <w:rFonts w:cs="Times New Roman"/>
        </w:rPr>
        <w:t>2-13 per pupil spending ranked 31</w:t>
      </w:r>
      <w:r w:rsidRPr="00F40195">
        <w:rPr>
          <w:rFonts w:cs="Times New Roman"/>
          <w:vertAlign w:val="superscript"/>
        </w:rPr>
        <w:t>st</w:t>
      </w:r>
      <w:r w:rsidRPr="00F40195">
        <w:rPr>
          <w:rFonts w:cs="Times New Roman"/>
        </w:rPr>
        <w:t xml:space="preserve"> nationally. In 2012-13 in the other seven comparative states, spending ranged from $8,695 per pupil in Tennessee to $13,215 in Arkansas.</w:t>
      </w:r>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From fiscal year 2003-04 to 2012-13 Kentucky’s per pupil expenditures for public primary and secondary schools increased by $2,395 or 32</w:t>
      </w:r>
      <w:r w:rsidR="00371FF9" w:rsidRPr="00F40195">
        <w:rPr>
          <w:rFonts w:cs="Times New Roman"/>
        </w:rPr>
        <w:t xml:space="preserve"> percent</w:t>
      </w:r>
      <w:r w:rsidRPr="00F40195">
        <w:rPr>
          <w:rFonts w:cs="Times New Roman"/>
        </w:rPr>
        <w:t>. Kentucky’s percentage spending growth was the 3</w:t>
      </w:r>
      <w:r w:rsidRPr="00F40195">
        <w:rPr>
          <w:rFonts w:cs="Times New Roman"/>
          <w:vertAlign w:val="superscript"/>
        </w:rPr>
        <w:t>1st</w:t>
      </w:r>
      <w:r w:rsidRPr="00F40195">
        <w:rPr>
          <w:rFonts w:cs="Times New Roman"/>
        </w:rPr>
        <w:t xml:space="preserve"> highest in the nation. Nationally, average spending per pupil increased by $2,820 or 34.2</w:t>
      </w:r>
      <w:r w:rsidR="00371FF9" w:rsidRPr="00F40195">
        <w:rPr>
          <w:rFonts w:cs="Times New Roman"/>
        </w:rPr>
        <w:t xml:space="preserve"> percent</w:t>
      </w:r>
      <w:r w:rsidRPr="00F40195">
        <w:rPr>
          <w:rFonts w:cs="Times New Roman"/>
        </w:rPr>
        <w:t>. If Kentucky’s per pupil spending had grown at the national average, spending in 2012-13 would have been $10,060 per pupil – or $169 greater than the actual spending level. In the other seven comparative states per student expend</w:t>
      </w:r>
      <w:r w:rsidR="004E380C">
        <w:rPr>
          <w:rFonts w:cs="Times New Roman"/>
        </w:rPr>
        <w:t>itures increases ranged from 10 percent</w:t>
      </w:r>
      <w:r w:rsidRPr="00F40195">
        <w:rPr>
          <w:rFonts w:cs="Times New Roman"/>
        </w:rPr>
        <w:t xml:space="preserve"> in Ohio to </w:t>
      </w:r>
      <w:r w:rsidRPr="00747BDE">
        <w:rPr>
          <w:rFonts w:cs="Times New Roman"/>
        </w:rPr>
        <w:t>1</w:t>
      </w:r>
      <w:r w:rsidR="004E380C" w:rsidRPr="00747BDE">
        <w:rPr>
          <w:rFonts w:cs="Times New Roman"/>
        </w:rPr>
        <w:t>20.1 percent</w:t>
      </w:r>
      <w:r w:rsidRPr="00F40195">
        <w:rPr>
          <w:rFonts w:cs="Times New Roman"/>
        </w:rPr>
        <w:t xml:space="preserve"> in Arkansas</w:t>
      </w:r>
      <w:r w:rsidR="008963DD">
        <w:rPr>
          <w:rFonts w:cs="Times New Roman"/>
        </w:rPr>
        <w:t>; Arkansas’ large increase was due to a significant funding hike in response to a Supreme Court decree that the state adequately fund its schools</w:t>
      </w:r>
      <w:r w:rsidRPr="00F40195">
        <w:rPr>
          <w:rFonts w:cs="Times New Roman"/>
        </w:rPr>
        <w:t>. Details of these changes are displayed in Table 2.4.</w:t>
      </w:r>
    </w:p>
    <w:p w:rsidR="00CC79D7" w:rsidRDefault="00CC79D7" w:rsidP="00CC79D7">
      <w:pPr>
        <w:widowControl w:val="0"/>
        <w:autoSpaceDE w:val="0"/>
        <w:autoSpaceDN w:val="0"/>
        <w:adjustRightInd w:val="0"/>
        <w:spacing w:after="240" w:line="240" w:lineRule="auto"/>
        <w:contextualSpacing/>
        <w:jc w:val="center"/>
        <w:rPr>
          <w:rFonts w:cs="Times New Roman"/>
          <w:b/>
          <w:bCs/>
        </w:rPr>
      </w:pPr>
      <w:r>
        <w:rPr>
          <w:rFonts w:cs="Times New Roman"/>
          <w:b/>
          <w:bCs/>
        </w:rPr>
        <w:t>Table 2.4</w:t>
      </w:r>
    </w:p>
    <w:p w:rsidR="00F02794" w:rsidRDefault="00F02794" w:rsidP="00CC79D7">
      <w:pPr>
        <w:widowControl w:val="0"/>
        <w:autoSpaceDE w:val="0"/>
        <w:autoSpaceDN w:val="0"/>
        <w:adjustRightInd w:val="0"/>
        <w:spacing w:after="240" w:line="240" w:lineRule="auto"/>
        <w:contextualSpacing/>
        <w:jc w:val="center"/>
        <w:rPr>
          <w:rFonts w:cs="Times New Roman"/>
          <w:b/>
          <w:bCs/>
        </w:rPr>
      </w:pPr>
      <w:r w:rsidRPr="00F40195">
        <w:rPr>
          <w:rFonts w:cs="Times New Roman"/>
          <w:b/>
          <w:bCs/>
        </w:rPr>
        <w:t>Growth in Per-Pupil Spending</w:t>
      </w:r>
    </w:p>
    <w:p w:rsidR="00CC79D7" w:rsidRPr="00F40195" w:rsidRDefault="00CC79D7" w:rsidP="00CC79D7">
      <w:pPr>
        <w:widowControl w:val="0"/>
        <w:autoSpaceDE w:val="0"/>
        <w:autoSpaceDN w:val="0"/>
        <w:adjustRightInd w:val="0"/>
        <w:spacing w:after="240" w:line="240" w:lineRule="auto"/>
        <w:contextualSpacing/>
        <w:jc w:val="center"/>
        <w:rPr>
          <w:rFonts w:cs="Times New Roman"/>
        </w:rPr>
      </w:pPr>
    </w:p>
    <w:tbl>
      <w:tblPr>
        <w:tblStyle w:val="TableGrid"/>
        <w:tblW w:w="0" w:type="auto"/>
        <w:tblLook w:val="04A0" w:firstRow="1" w:lastRow="0" w:firstColumn="1" w:lastColumn="0" w:noHBand="0" w:noVBand="1"/>
      </w:tblPr>
      <w:tblGrid>
        <w:gridCol w:w="1771"/>
        <w:gridCol w:w="1771"/>
        <w:gridCol w:w="1771"/>
        <w:gridCol w:w="1771"/>
        <w:gridCol w:w="1772"/>
      </w:tblGrid>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rPr>
                <w:iCs/>
              </w:rPr>
            </w:pPr>
          </w:p>
        </w:tc>
        <w:tc>
          <w:tcPr>
            <w:tcW w:w="3542" w:type="dxa"/>
            <w:gridSpan w:val="2"/>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 xml:space="preserve">Per Pupil Expenditures                     </w:t>
            </w:r>
            <w:r w:rsidRPr="00F40195">
              <w:rPr>
                <w:i/>
                <w:iCs/>
              </w:rPr>
              <w:t>(National Rank)</w:t>
            </w:r>
          </w:p>
        </w:tc>
        <w:tc>
          <w:tcPr>
            <w:tcW w:w="3543" w:type="dxa"/>
            <w:gridSpan w:val="2"/>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 xml:space="preserve">Growth in Expenditures                 </w:t>
            </w:r>
            <w:r w:rsidRPr="00F40195">
              <w:rPr>
                <w:i/>
                <w:iCs/>
              </w:rPr>
              <w:t>(National Rank)</w:t>
            </w:r>
          </w:p>
        </w:tc>
      </w:tr>
      <w:tr w:rsidR="00F02794" w:rsidRPr="00F40195" w:rsidTr="002F335C">
        <w:trPr>
          <w:trHeight w:val="432"/>
        </w:trPr>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rPr>
                <w:iCs/>
              </w:rPr>
            </w:pPr>
          </w:p>
        </w:tc>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2003-04</w:t>
            </w:r>
          </w:p>
        </w:tc>
        <w:tc>
          <w:tcPr>
            <w:tcW w:w="1771" w:type="dxa"/>
            <w:tcBorders>
              <w:bottom w:val="single" w:sz="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2012-2013</w:t>
            </w:r>
          </w:p>
        </w:tc>
        <w:tc>
          <w:tcPr>
            <w:tcW w:w="1771" w:type="dxa"/>
            <w:tcBorders>
              <w:left w:val="thinThickSmallGap" w:sz="24" w:space="0" w:color="auto"/>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Dollars</w:t>
            </w:r>
          </w:p>
        </w:tc>
        <w:tc>
          <w:tcPr>
            <w:tcW w:w="1772"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Percentage</w:t>
            </w:r>
          </w:p>
        </w:tc>
      </w:tr>
      <w:tr w:rsidR="00F02794" w:rsidRPr="00F40195" w:rsidTr="002F335C">
        <w:trPr>
          <w:trHeight w:val="432"/>
        </w:trPr>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National</w:t>
            </w:r>
          </w:p>
        </w:tc>
        <w:tc>
          <w:tcPr>
            <w:tcW w:w="1771" w:type="dxa"/>
            <w:tcBorders>
              <w:bottom w:val="thinThickSmallGap" w:sz="24" w:space="0" w:color="auto"/>
            </w:tcBorders>
            <w:vAlign w:val="center"/>
          </w:tcPr>
          <w:p w:rsidR="00F02794" w:rsidRPr="00F40195" w:rsidRDefault="00F02794" w:rsidP="00F40195">
            <w:pPr>
              <w:contextualSpacing/>
              <w:jc w:val="center"/>
              <w:rPr>
                <w:color w:val="000000"/>
              </w:rPr>
            </w:pPr>
            <w:r w:rsidRPr="00F40195">
              <w:rPr>
                <w:color w:val="000000"/>
              </w:rPr>
              <w:t>$8,248</w:t>
            </w:r>
          </w:p>
        </w:tc>
        <w:tc>
          <w:tcPr>
            <w:tcW w:w="1771" w:type="dxa"/>
            <w:tcBorders>
              <w:bottom w:val="thinThickSmallGap" w:sz="24" w:space="0" w:color="auto"/>
              <w:right w:val="thinThickSmallGap" w:sz="24" w:space="0" w:color="auto"/>
            </w:tcBorders>
            <w:vAlign w:val="center"/>
          </w:tcPr>
          <w:p w:rsidR="00F02794" w:rsidRPr="00F40195" w:rsidRDefault="00F02794" w:rsidP="00F40195">
            <w:pPr>
              <w:contextualSpacing/>
              <w:jc w:val="center"/>
            </w:pPr>
            <w:r w:rsidRPr="00F40195">
              <w:t>$11,068</w:t>
            </w:r>
          </w:p>
        </w:tc>
        <w:tc>
          <w:tcPr>
            <w:tcW w:w="1771" w:type="dxa"/>
            <w:tcBorders>
              <w:left w:val="thinThickSmallGap" w:sz="24" w:space="0" w:color="auto"/>
              <w:bottom w:val="thinThickSmallGap" w:sz="24" w:space="0" w:color="auto"/>
            </w:tcBorders>
            <w:vAlign w:val="center"/>
          </w:tcPr>
          <w:p w:rsidR="00F02794" w:rsidRPr="00F40195" w:rsidRDefault="00F02794" w:rsidP="00F40195">
            <w:pPr>
              <w:contextualSpacing/>
              <w:jc w:val="center"/>
              <w:rPr>
                <w:color w:val="000000"/>
              </w:rPr>
            </w:pPr>
            <w:r w:rsidRPr="00F40195">
              <w:rPr>
                <w:color w:val="000000"/>
              </w:rPr>
              <w:t>$2,820</w:t>
            </w:r>
          </w:p>
        </w:tc>
        <w:tc>
          <w:tcPr>
            <w:tcW w:w="1772" w:type="dxa"/>
            <w:tcBorders>
              <w:bottom w:val="thinThickSmallGap" w:sz="24" w:space="0" w:color="auto"/>
            </w:tcBorders>
            <w:vAlign w:val="center"/>
          </w:tcPr>
          <w:p w:rsidR="00F02794" w:rsidRPr="00F40195" w:rsidRDefault="00F02794" w:rsidP="00F40195">
            <w:pPr>
              <w:contextualSpacing/>
              <w:jc w:val="center"/>
              <w:rPr>
                <w:color w:val="000000"/>
              </w:rPr>
            </w:pPr>
            <w:r w:rsidRPr="00F40195">
              <w:rPr>
                <w:color w:val="000000"/>
              </w:rPr>
              <w:t>34.2%</w:t>
            </w:r>
          </w:p>
        </w:tc>
      </w:tr>
      <w:tr w:rsidR="008521CE" w:rsidRPr="00F40195" w:rsidTr="002F335C">
        <w:trPr>
          <w:trHeight w:val="432"/>
        </w:trPr>
        <w:tc>
          <w:tcPr>
            <w:tcW w:w="1771" w:type="dxa"/>
            <w:tcBorders>
              <w:top w:val="thinThickSmallGap" w:sz="24" w:space="0" w:color="auto"/>
            </w:tcBorders>
            <w:shd w:val="clear" w:color="auto" w:fill="BFBFBF" w:themeFill="background1" w:themeFillShade="BF"/>
            <w:vAlign w:val="center"/>
          </w:tcPr>
          <w:p w:rsidR="008521CE" w:rsidRPr="00F40195" w:rsidRDefault="00B8157F" w:rsidP="00F40195">
            <w:pPr>
              <w:widowControl w:val="0"/>
              <w:autoSpaceDE w:val="0"/>
              <w:autoSpaceDN w:val="0"/>
              <w:adjustRightInd w:val="0"/>
              <w:spacing w:after="240"/>
              <w:contextualSpacing/>
              <w:jc w:val="center"/>
            </w:pPr>
            <w:r>
              <w:t>Comparable States</w:t>
            </w:r>
          </w:p>
        </w:tc>
        <w:tc>
          <w:tcPr>
            <w:tcW w:w="1771" w:type="dxa"/>
            <w:tcBorders>
              <w:top w:val="thinThickSmallGap" w:sz="24" w:space="0" w:color="auto"/>
            </w:tcBorders>
            <w:shd w:val="clear" w:color="auto" w:fill="BFBFBF" w:themeFill="background1" w:themeFillShade="BF"/>
            <w:vAlign w:val="center"/>
          </w:tcPr>
          <w:p w:rsidR="008521CE" w:rsidRPr="00F40195" w:rsidRDefault="00954F99" w:rsidP="00F40195">
            <w:pPr>
              <w:contextualSpacing/>
              <w:jc w:val="right"/>
              <w:rPr>
                <w:color w:val="000000"/>
              </w:rPr>
            </w:pPr>
            <w:r>
              <w:rPr>
                <w:color w:val="000000"/>
              </w:rPr>
              <w:t>$7,744</w:t>
            </w:r>
          </w:p>
        </w:tc>
        <w:tc>
          <w:tcPr>
            <w:tcW w:w="1771" w:type="dxa"/>
            <w:tcBorders>
              <w:top w:val="thinThickSmallGap" w:sz="24" w:space="0" w:color="auto"/>
              <w:right w:val="thinThickSmallGap" w:sz="24" w:space="0" w:color="auto"/>
            </w:tcBorders>
            <w:shd w:val="clear" w:color="auto" w:fill="BFBFBF" w:themeFill="background1" w:themeFillShade="BF"/>
            <w:vAlign w:val="center"/>
          </w:tcPr>
          <w:p w:rsidR="008521CE" w:rsidRPr="00F40195" w:rsidRDefault="00954F99" w:rsidP="00F40195">
            <w:pPr>
              <w:contextualSpacing/>
              <w:jc w:val="right"/>
            </w:pPr>
            <w:r>
              <w:t>$10,175</w:t>
            </w:r>
          </w:p>
        </w:tc>
        <w:tc>
          <w:tcPr>
            <w:tcW w:w="1771" w:type="dxa"/>
            <w:tcBorders>
              <w:top w:val="thinThickSmallGap" w:sz="24" w:space="0" w:color="auto"/>
              <w:left w:val="thinThickSmallGap" w:sz="24" w:space="0" w:color="auto"/>
            </w:tcBorders>
            <w:shd w:val="clear" w:color="auto" w:fill="BFBFBF" w:themeFill="background1" w:themeFillShade="BF"/>
            <w:vAlign w:val="center"/>
          </w:tcPr>
          <w:p w:rsidR="008521CE" w:rsidRPr="00F40195" w:rsidRDefault="00954F99" w:rsidP="00F40195">
            <w:pPr>
              <w:contextualSpacing/>
              <w:jc w:val="right"/>
              <w:rPr>
                <w:color w:val="000000"/>
              </w:rPr>
            </w:pPr>
            <w:r>
              <w:rPr>
                <w:color w:val="000000"/>
              </w:rPr>
              <w:t>$2,431</w:t>
            </w:r>
          </w:p>
        </w:tc>
        <w:tc>
          <w:tcPr>
            <w:tcW w:w="1772" w:type="dxa"/>
            <w:tcBorders>
              <w:top w:val="thinThickSmallGap" w:sz="24" w:space="0" w:color="auto"/>
            </w:tcBorders>
            <w:shd w:val="clear" w:color="auto" w:fill="BFBFBF" w:themeFill="background1" w:themeFillShade="BF"/>
            <w:vAlign w:val="center"/>
          </w:tcPr>
          <w:p w:rsidR="008521CE" w:rsidRPr="00F40195" w:rsidRDefault="00954F99" w:rsidP="00F40195">
            <w:pPr>
              <w:contextualSpacing/>
              <w:jc w:val="right"/>
              <w:rPr>
                <w:color w:val="000000"/>
              </w:rPr>
            </w:pPr>
            <w:r>
              <w:rPr>
                <w:color w:val="000000"/>
              </w:rPr>
              <w:t>31.4%</w:t>
            </w:r>
          </w:p>
        </w:tc>
      </w:tr>
      <w:tr w:rsidR="00F02794" w:rsidRPr="00F40195" w:rsidTr="002F335C">
        <w:trPr>
          <w:trHeight w:val="432"/>
        </w:trPr>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Kentucky</w:t>
            </w:r>
          </w:p>
        </w:tc>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$7,496 (29)</w:t>
            </w:r>
          </w:p>
        </w:tc>
        <w:tc>
          <w:tcPr>
            <w:tcW w:w="1771"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contextualSpacing/>
              <w:jc w:val="right"/>
            </w:pPr>
            <w:r w:rsidRPr="00F40195">
              <w:t>$9,891 (31)</w:t>
            </w:r>
          </w:p>
        </w:tc>
        <w:tc>
          <w:tcPr>
            <w:tcW w:w="1771"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$2,395 (30)</w:t>
            </w:r>
          </w:p>
        </w:tc>
        <w:tc>
          <w:tcPr>
            <w:tcW w:w="1772"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32.0% (31)</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Alabama</w:t>
            </w:r>
          </w:p>
        </w:tc>
        <w:tc>
          <w:tcPr>
            <w:tcW w:w="1771" w:type="dxa"/>
            <w:vAlign w:val="center"/>
          </w:tcPr>
          <w:p w:rsidR="00F02794" w:rsidRPr="00F40195" w:rsidRDefault="00F02794" w:rsidP="00F40195">
            <w:pPr>
              <w:contextualSpacing/>
              <w:jc w:val="right"/>
              <w:rPr>
                <w:color w:val="000000"/>
              </w:rPr>
            </w:pPr>
            <w:r w:rsidRPr="00F40195">
              <w:rPr>
                <w:color w:val="000000"/>
              </w:rPr>
              <w:t>$6,701 (41)</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$8,779 (41)</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$2,078 (39)</w:t>
            </w:r>
          </w:p>
        </w:tc>
        <w:tc>
          <w:tcPr>
            <w:tcW w:w="1772" w:type="dxa"/>
            <w:vAlign w:val="center"/>
          </w:tcPr>
          <w:p w:rsidR="00F02794" w:rsidRPr="00F40195" w:rsidRDefault="00F02794" w:rsidP="00F40195">
            <w:pPr>
              <w:contextualSpacing/>
              <w:jc w:val="right"/>
              <w:rPr>
                <w:color w:val="000000"/>
              </w:rPr>
            </w:pPr>
            <w:r w:rsidRPr="00F40195">
              <w:rPr>
                <w:color w:val="000000"/>
              </w:rPr>
              <w:t>31.0% (37)</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Arkansas</w:t>
            </w:r>
          </w:p>
        </w:tc>
        <w:tc>
          <w:tcPr>
            <w:tcW w:w="1771" w:type="dxa"/>
            <w:vAlign w:val="center"/>
          </w:tcPr>
          <w:p w:rsidR="00F02794" w:rsidRPr="00F40195" w:rsidRDefault="00F02794" w:rsidP="00F40195">
            <w:pPr>
              <w:contextualSpacing/>
              <w:jc w:val="right"/>
              <w:rPr>
                <w:color w:val="000000"/>
              </w:rPr>
            </w:pPr>
            <w:r w:rsidRPr="00F40195">
              <w:rPr>
                <w:color w:val="000000"/>
              </w:rPr>
              <w:t>$6,005 (47)</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$13,215 (14)</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$7,210 (</w:t>
            </w:r>
            <w:r w:rsidR="00083C3D" w:rsidRPr="00F40195">
              <w:rPr>
                <w:color w:val="000000"/>
              </w:rPr>
              <w:t>0</w:t>
            </w:r>
            <w:r w:rsidRPr="00F40195">
              <w:rPr>
                <w:color w:val="000000"/>
              </w:rPr>
              <w:t>5)</w:t>
            </w:r>
          </w:p>
        </w:tc>
        <w:tc>
          <w:tcPr>
            <w:tcW w:w="1772" w:type="dxa"/>
            <w:vAlign w:val="center"/>
          </w:tcPr>
          <w:p w:rsidR="00F02794" w:rsidRPr="00F40195" w:rsidRDefault="00F02794" w:rsidP="00F40195">
            <w:pPr>
              <w:contextualSpacing/>
              <w:jc w:val="right"/>
              <w:rPr>
                <w:color w:val="000000"/>
              </w:rPr>
            </w:pPr>
            <w:r w:rsidRPr="00F40195">
              <w:rPr>
                <w:color w:val="000000"/>
              </w:rPr>
              <w:t>120.1% (</w:t>
            </w:r>
            <w:r w:rsidR="00083C3D" w:rsidRPr="00F40195">
              <w:rPr>
                <w:color w:val="000000"/>
              </w:rPr>
              <w:t>0</w:t>
            </w:r>
            <w:r w:rsidRPr="00F40195">
              <w:rPr>
                <w:color w:val="000000"/>
              </w:rPr>
              <w:t>1)</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Indiana</w:t>
            </w:r>
          </w:p>
        </w:tc>
        <w:tc>
          <w:tcPr>
            <w:tcW w:w="1771" w:type="dxa"/>
            <w:vAlign w:val="center"/>
          </w:tcPr>
          <w:p w:rsidR="00F02794" w:rsidRPr="00F40195" w:rsidRDefault="00F02794" w:rsidP="00F40195">
            <w:pPr>
              <w:contextualSpacing/>
              <w:jc w:val="right"/>
              <w:rPr>
                <w:color w:val="000000"/>
              </w:rPr>
            </w:pPr>
            <w:r w:rsidRPr="00F40195">
              <w:rPr>
                <w:color w:val="000000"/>
              </w:rPr>
              <w:t>$8,414 (21)</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$11,129 (22)</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$2,715 (27)</w:t>
            </w:r>
          </w:p>
        </w:tc>
        <w:tc>
          <w:tcPr>
            <w:tcW w:w="1772" w:type="dxa"/>
            <w:vAlign w:val="center"/>
          </w:tcPr>
          <w:p w:rsidR="00F02794" w:rsidRPr="00F40195" w:rsidRDefault="00F02794" w:rsidP="00F40195">
            <w:pPr>
              <w:contextualSpacing/>
              <w:jc w:val="right"/>
              <w:rPr>
                <w:color w:val="000000"/>
              </w:rPr>
            </w:pPr>
            <w:r w:rsidRPr="00F40195">
              <w:rPr>
                <w:color w:val="000000"/>
              </w:rPr>
              <w:t>32.3% (30)</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Missouri</w:t>
            </w:r>
          </w:p>
        </w:tc>
        <w:tc>
          <w:tcPr>
            <w:tcW w:w="1771" w:type="dxa"/>
            <w:vAlign w:val="center"/>
          </w:tcPr>
          <w:p w:rsidR="00F02794" w:rsidRPr="00F40195" w:rsidRDefault="00F02794" w:rsidP="00F40195">
            <w:pPr>
              <w:contextualSpacing/>
              <w:jc w:val="right"/>
              <w:rPr>
                <w:color w:val="000000"/>
              </w:rPr>
            </w:pPr>
            <w:r w:rsidRPr="00F40195">
              <w:rPr>
                <w:color w:val="000000"/>
              </w:rPr>
              <w:t>$6,947 (38)</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$10,093 (34)</w:t>
            </w:r>
          </w:p>
        </w:tc>
        <w:tc>
          <w:tcPr>
            <w:tcW w:w="1771" w:type="dxa"/>
            <w:tcBorders>
              <w:left w:val="thinThickSmallGap" w:sz="24" w:space="0" w:color="auto"/>
            </w:tcBorders>
            <w:vAlign w:val="center"/>
          </w:tcPr>
          <w:p w:rsidR="00F02794" w:rsidRPr="00F40195" w:rsidRDefault="005E7545" w:rsidP="00F40195">
            <w:pPr>
              <w:contextualSpacing/>
              <w:jc w:val="right"/>
              <w:rPr>
                <w:color w:val="000000"/>
              </w:rPr>
            </w:pPr>
            <w:r w:rsidRPr="00F40195">
              <w:rPr>
                <w:color w:val="000000"/>
              </w:rPr>
              <w:t>$3,164</w:t>
            </w:r>
            <w:r w:rsidR="00F02794" w:rsidRPr="00F40195">
              <w:rPr>
                <w:color w:val="000000"/>
              </w:rPr>
              <w:t xml:space="preserve"> (18)</w:t>
            </w:r>
          </w:p>
        </w:tc>
        <w:tc>
          <w:tcPr>
            <w:tcW w:w="1772" w:type="dxa"/>
            <w:vAlign w:val="center"/>
          </w:tcPr>
          <w:p w:rsidR="00F02794" w:rsidRPr="00F40195" w:rsidRDefault="00F02794" w:rsidP="00F40195">
            <w:pPr>
              <w:contextualSpacing/>
              <w:jc w:val="right"/>
              <w:rPr>
                <w:color w:val="000000"/>
              </w:rPr>
            </w:pPr>
            <w:r w:rsidRPr="00F40195">
              <w:rPr>
                <w:color w:val="000000"/>
              </w:rPr>
              <w:t>45.3% (15)</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Ohio</w:t>
            </w:r>
          </w:p>
        </w:tc>
        <w:tc>
          <w:tcPr>
            <w:tcW w:w="1771" w:type="dxa"/>
            <w:vAlign w:val="center"/>
          </w:tcPr>
          <w:p w:rsidR="00F02794" w:rsidRPr="00F40195" w:rsidRDefault="00F02794" w:rsidP="00F40195">
            <w:pPr>
              <w:contextualSpacing/>
              <w:jc w:val="right"/>
              <w:rPr>
                <w:color w:val="000000"/>
              </w:rPr>
            </w:pPr>
            <w:r w:rsidRPr="00F40195">
              <w:rPr>
                <w:color w:val="000000"/>
              </w:rPr>
              <w:t>$9,035 (16)</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$9,941 (30)</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$906 (48)</w:t>
            </w:r>
          </w:p>
        </w:tc>
        <w:tc>
          <w:tcPr>
            <w:tcW w:w="1772" w:type="dxa"/>
            <w:vAlign w:val="center"/>
          </w:tcPr>
          <w:p w:rsidR="00F02794" w:rsidRPr="00F40195" w:rsidRDefault="00F02794" w:rsidP="00F40195">
            <w:pPr>
              <w:contextualSpacing/>
              <w:jc w:val="right"/>
              <w:rPr>
                <w:color w:val="000000"/>
              </w:rPr>
            </w:pPr>
            <w:r w:rsidRPr="00F40195">
              <w:rPr>
                <w:color w:val="000000"/>
              </w:rPr>
              <w:t>10.0% (48)</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Tennessee</w:t>
            </w:r>
          </w:p>
        </w:tc>
        <w:tc>
          <w:tcPr>
            <w:tcW w:w="1771" w:type="dxa"/>
            <w:vAlign w:val="center"/>
          </w:tcPr>
          <w:p w:rsidR="00F02794" w:rsidRPr="00F40195" w:rsidRDefault="00F02794" w:rsidP="00F40195">
            <w:pPr>
              <w:contextualSpacing/>
              <w:jc w:val="right"/>
              <w:rPr>
                <w:color w:val="000000"/>
              </w:rPr>
            </w:pPr>
            <w:r w:rsidRPr="00F40195">
              <w:rPr>
                <w:color w:val="000000"/>
              </w:rPr>
              <w:t>$6,501 (44)</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$8,695 (42)</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$2,194 (34)</w:t>
            </w:r>
          </w:p>
        </w:tc>
        <w:tc>
          <w:tcPr>
            <w:tcW w:w="1772" w:type="dxa"/>
            <w:vAlign w:val="center"/>
          </w:tcPr>
          <w:p w:rsidR="00F02794" w:rsidRPr="00F40195" w:rsidRDefault="00F02794" w:rsidP="00F40195">
            <w:pPr>
              <w:contextualSpacing/>
              <w:jc w:val="right"/>
              <w:rPr>
                <w:color w:val="000000"/>
              </w:rPr>
            </w:pPr>
            <w:r w:rsidRPr="00F40195">
              <w:rPr>
                <w:color w:val="000000"/>
              </w:rPr>
              <w:t>33.7% (26)</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West Virginia</w:t>
            </w:r>
          </w:p>
        </w:tc>
        <w:tc>
          <w:tcPr>
            <w:tcW w:w="1771" w:type="dxa"/>
            <w:vAlign w:val="center"/>
          </w:tcPr>
          <w:p w:rsidR="00F02794" w:rsidRPr="00F40195" w:rsidRDefault="00F02794" w:rsidP="00F40195">
            <w:pPr>
              <w:contextualSpacing/>
              <w:jc w:val="right"/>
              <w:rPr>
                <w:color w:val="000000"/>
              </w:rPr>
            </w:pPr>
            <w:r w:rsidRPr="00F40195">
              <w:rPr>
                <w:color w:val="000000"/>
              </w:rPr>
              <w:t>$9,018 (17)</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$12,116 (17)</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$3,098 (19)</w:t>
            </w:r>
          </w:p>
        </w:tc>
        <w:tc>
          <w:tcPr>
            <w:tcW w:w="1772" w:type="dxa"/>
            <w:vAlign w:val="center"/>
          </w:tcPr>
          <w:p w:rsidR="00F02794" w:rsidRPr="00F40195" w:rsidRDefault="00F02794" w:rsidP="00F40195">
            <w:pPr>
              <w:contextualSpacing/>
              <w:jc w:val="right"/>
              <w:rPr>
                <w:color w:val="000000"/>
              </w:rPr>
            </w:pPr>
            <w:r w:rsidRPr="00F40195">
              <w:rPr>
                <w:color w:val="000000"/>
              </w:rPr>
              <w:t>34.4% (24)</w:t>
            </w:r>
          </w:p>
        </w:tc>
      </w:tr>
    </w:tbl>
    <w:p w:rsidR="00F02794" w:rsidRPr="00F40195" w:rsidRDefault="00F02794" w:rsidP="00F40195">
      <w:pPr>
        <w:widowControl w:val="0"/>
        <w:autoSpaceDE w:val="0"/>
        <w:autoSpaceDN w:val="0"/>
        <w:adjustRightInd w:val="0"/>
        <w:spacing w:after="240" w:line="240" w:lineRule="auto"/>
        <w:rPr>
          <w:rFonts w:cs="Times New Roman"/>
          <w:i/>
          <w:iCs/>
        </w:rPr>
      </w:pPr>
      <w:r w:rsidRPr="00F40195">
        <w:rPr>
          <w:rFonts w:cs="Times New Roman"/>
          <w:iCs/>
        </w:rPr>
        <w:t>Source: National Education Association’s Rankings &amp; Estimates</w:t>
      </w:r>
      <w:r w:rsidR="00E2519A">
        <w:rPr>
          <w:rFonts w:cs="Times New Roman"/>
          <w:iCs/>
        </w:rPr>
        <w:t xml:space="preserve"> (2014)</w:t>
      </w:r>
    </w:p>
    <w:p w:rsidR="00F02794" w:rsidRPr="00F40195" w:rsidRDefault="00F02794" w:rsidP="008D674A">
      <w:pPr>
        <w:pStyle w:val="Heading3"/>
      </w:pPr>
      <w:bookmarkStart w:id="39" w:name="_Toc385250712"/>
      <w:bookmarkStart w:id="40" w:name="_Toc395180654"/>
      <w:r w:rsidRPr="00F40195">
        <w:lastRenderedPageBreak/>
        <w:t>Per Student Expenditures Adjusted by the Comparable Wage Index</w:t>
      </w:r>
      <w:bookmarkEnd w:id="39"/>
      <w:bookmarkEnd w:id="40"/>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In an attempt to compare student expenditure data across states this study adjusted each state’s per pupil expenditure amounts by the Comparable Wage Index (CWI). The CWI was created by the National Center for Education Statistics (NCES) in an attempt to measure the systematic, regional variations in salaries of college graduates who are not educators. This means that the CWI attempts to adjust funding amounts based on a state’s cost of doing business. As shown in Table 2.5, in FY 2003-04 Kentucky’s average per pupil expenditure adjusted by CWI was $7,855, ranking 29</w:t>
      </w:r>
      <w:r w:rsidRPr="00F40195">
        <w:rPr>
          <w:rFonts w:cs="Times New Roman"/>
          <w:vertAlign w:val="superscript"/>
        </w:rPr>
        <w:t>th</w:t>
      </w:r>
      <w:r w:rsidRPr="00F40195">
        <w:rPr>
          <w:rFonts w:cs="Times New Roman"/>
        </w:rPr>
        <w:t xml:space="preserve"> in the nation – $393 or 4.8</w:t>
      </w:r>
      <w:r w:rsidR="00371FF9" w:rsidRPr="00F40195">
        <w:rPr>
          <w:rFonts w:cs="Times New Roman"/>
        </w:rPr>
        <w:t xml:space="preserve"> percent</w:t>
      </w:r>
      <w:r w:rsidRPr="00F40195">
        <w:rPr>
          <w:rFonts w:cs="Times New Roman"/>
        </w:rPr>
        <w:t xml:space="preserve"> below the national average of $8,248 per pupil. In 2012-13 Kentucky’s average per pupil expenditure adjusted by CWI grew to $10,646 which was $422 or 3.8</w:t>
      </w:r>
      <w:r w:rsidR="00371FF9" w:rsidRPr="00F40195">
        <w:rPr>
          <w:rFonts w:cs="Times New Roman"/>
        </w:rPr>
        <w:t xml:space="preserve"> percent</w:t>
      </w:r>
      <w:r w:rsidRPr="00F40195">
        <w:rPr>
          <w:rFonts w:cs="Times New Roman"/>
        </w:rPr>
        <w:t xml:space="preserve"> below the national average of $11,068. That year, Kentucky’s per pupil spending adjusted by CWI ranked 29</w:t>
      </w:r>
      <w:r w:rsidRPr="00F40195">
        <w:rPr>
          <w:rFonts w:cs="Times New Roman"/>
          <w:vertAlign w:val="superscript"/>
        </w:rPr>
        <w:t>nd</w:t>
      </w:r>
      <w:r w:rsidRPr="00F40195">
        <w:rPr>
          <w:rFonts w:cs="Times New Roman"/>
        </w:rPr>
        <w:t xml:space="preserve"> nationally. </w:t>
      </w:r>
      <w:proofErr w:type="gramStart"/>
      <w:r w:rsidRPr="00F40195">
        <w:rPr>
          <w:rFonts w:cs="Times New Roman"/>
        </w:rPr>
        <w:t>In 2012-13</w:t>
      </w:r>
      <w:r w:rsidR="003C05E0" w:rsidRPr="00F40195">
        <w:rPr>
          <w:rFonts w:cs="Times New Roman"/>
        </w:rPr>
        <w:t>,</w:t>
      </w:r>
      <w:r w:rsidRPr="00F40195">
        <w:rPr>
          <w:rFonts w:cs="Times New Roman"/>
        </w:rPr>
        <w:t xml:space="preserve"> in the other seven comparative states, spending adjusted by CWI ranged from $8,971 per pupil in Tennessee to $14,815 in Arkansas.</w:t>
      </w:r>
      <w:proofErr w:type="gramEnd"/>
    </w:p>
    <w:p w:rsidR="00F02794" w:rsidRDefault="00F02794" w:rsidP="00F40195">
      <w:pPr>
        <w:widowControl w:val="0"/>
        <w:autoSpaceDE w:val="0"/>
        <w:autoSpaceDN w:val="0"/>
        <w:adjustRightInd w:val="0"/>
        <w:spacing w:after="240" w:line="240" w:lineRule="auto"/>
        <w:rPr>
          <w:rFonts w:cs="Times New Roman"/>
        </w:rPr>
      </w:pPr>
      <w:r w:rsidRPr="00F40195">
        <w:rPr>
          <w:rFonts w:cs="Times New Roman"/>
        </w:rPr>
        <w:t>From fiscal year 2003-04 to 2012-13 Kentucky’s per pupil expenditures adjusted by CWI for public primary and secondary schools increased by $2,791 or 35.5</w:t>
      </w:r>
      <w:r w:rsidR="00371FF9" w:rsidRPr="00F40195">
        <w:rPr>
          <w:rFonts w:cs="Times New Roman"/>
        </w:rPr>
        <w:t xml:space="preserve"> percent</w:t>
      </w:r>
      <w:r w:rsidRPr="00F40195">
        <w:rPr>
          <w:rFonts w:cs="Times New Roman"/>
        </w:rPr>
        <w:t>. Kentucky’s percentage spending growth was the 26</w:t>
      </w:r>
      <w:r w:rsidRPr="00F40195">
        <w:rPr>
          <w:rFonts w:cs="Times New Roman"/>
          <w:vertAlign w:val="superscript"/>
        </w:rPr>
        <w:t>th</w:t>
      </w:r>
      <w:r w:rsidRPr="00F40195">
        <w:rPr>
          <w:rFonts w:cs="Times New Roman"/>
        </w:rPr>
        <w:t xml:space="preserve"> highest in the nation. Nationally, average spending per pupil increased by $2,820 or 34.2</w:t>
      </w:r>
      <w:r w:rsidR="00371FF9" w:rsidRPr="00F40195">
        <w:rPr>
          <w:rFonts w:cs="Times New Roman"/>
        </w:rPr>
        <w:t xml:space="preserve"> percent</w:t>
      </w:r>
      <w:r w:rsidRPr="00F40195">
        <w:rPr>
          <w:rFonts w:cs="Times New Roman"/>
        </w:rPr>
        <w:t xml:space="preserve">. </w:t>
      </w:r>
      <w:r w:rsidR="00CB0504">
        <w:rPr>
          <w:rFonts w:cs="Times New Roman"/>
        </w:rPr>
        <w:t>Increases i</w:t>
      </w:r>
      <w:r w:rsidRPr="00F40195">
        <w:rPr>
          <w:rFonts w:cs="Times New Roman"/>
        </w:rPr>
        <w:t>n the other seven comparative states per student expenditures</w:t>
      </w:r>
      <w:r w:rsidR="00CB0504">
        <w:rPr>
          <w:rFonts w:cs="Times New Roman"/>
        </w:rPr>
        <w:t>,</w:t>
      </w:r>
      <w:r w:rsidRPr="00F40195">
        <w:rPr>
          <w:rFonts w:cs="Times New Roman"/>
        </w:rPr>
        <w:t xml:space="preserve"> adjusted by CWI</w:t>
      </w:r>
      <w:r w:rsidR="00CB0504">
        <w:rPr>
          <w:rFonts w:cs="Times New Roman"/>
        </w:rPr>
        <w:t>,</w:t>
      </w:r>
      <w:r w:rsidRPr="00F40195">
        <w:rPr>
          <w:rFonts w:cs="Times New Roman"/>
        </w:rPr>
        <w:t xml:space="preserve"> ranged from 14.4</w:t>
      </w:r>
      <w:r w:rsidR="00371FF9" w:rsidRPr="00F40195">
        <w:rPr>
          <w:rFonts w:cs="Times New Roman"/>
        </w:rPr>
        <w:t xml:space="preserve"> percent</w:t>
      </w:r>
      <w:r w:rsidRPr="00F40195">
        <w:rPr>
          <w:rFonts w:cs="Times New Roman"/>
        </w:rPr>
        <w:t xml:space="preserve"> in Ohio to 118.7</w:t>
      </w:r>
      <w:r w:rsidR="00371FF9" w:rsidRPr="00F40195">
        <w:rPr>
          <w:rFonts w:cs="Times New Roman"/>
        </w:rPr>
        <w:t xml:space="preserve"> percent</w:t>
      </w:r>
      <w:r w:rsidRPr="00F40195">
        <w:rPr>
          <w:rFonts w:cs="Times New Roman"/>
        </w:rPr>
        <w:t xml:space="preserve"> in Arkansas. Details of these changes are displayed in Table 2.5.</w:t>
      </w:r>
    </w:p>
    <w:p w:rsidR="00090DBD" w:rsidRDefault="00090DBD">
      <w:pPr>
        <w:rPr>
          <w:rFonts w:cs="Times New Roman"/>
        </w:rPr>
      </w:pPr>
      <w:r>
        <w:rPr>
          <w:rFonts w:cs="Times New Roman"/>
        </w:rPr>
        <w:br w:type="page"/>
      </w:r>
    </w:p>
    <w:p w:rsidR="00090DBD" w:rsidRPr="00F40195" w:rsidRDefault="00090DBD" w:rsidP="00F40195">
      <w:pPr>
        <w:widowControl w:val="0"/>
        <w:autoSpaceDE w:val="0"/>
        <w:autoSpaceDN w:val="0"/>
        <w:adjustRightInd w:val="0"/>
        <w:spacing w:after="240" w:line="240" w:lineRule="auto"/>
        <w:rPr>
          <w:rFonts w:cs="Times New Roman"/>
        </w:rPr>
      </w:pPr>
    </w:p>
    <w:p w:rsidR="00CC79D7" w:rsidRDefault="00CC79D7" w:rsidP="00CC79D7">
      <w:pPr>
        <w:widowControl w:val="0"/>
        <w:autoSpaceDE w:val="0"/>
        <w:autoSpaceDN w:val="0"/>
        <w:adjustRightInd w:val="0"/>
        <w:spacing w:after="240" w:line="240" w:lineRule="auto"/>
        <w:contextualSpacing/>
        <w:jc w:val="center"/>
        <w:rPr>
          <w:rFonts w:cs="Times New Roman"/>
          <w:b/>
          <w:bCs/>
        </w:rPr>
      </w:pPr>
      <w:r>
        <w:rPr>
          <w:rFonts w:cs="Times New Roman"/>
          <w:b/>
          <w:bCs/>
        </w:rPr>
        <w:t>Table 2.5</w:t>
      </w:r>
    </w:p>
    <w:p w:rsidR="00F02794" w:rsidRDefault="00F02794" w:rsidP="00CC79D7">
      <w:pPr>
        <w:widowControl w:val="0"/>
        <w:autoSpaceDE w:val="0"/>
        <w:autoSpaceDN w:val="0"/>
        <w:adjustRightInd w:val="0"/>
        <w:spacing w:after="240" w:line="240" w:lineRule="auto"/>
        <w:contextualSpacing/>
        <w:jc w:val="center"/>
        <w:rPr>
          <w:rFonts w:cs="Times New Roman"/>
          <w:b/>
          <w:bCs/>
        </w:rPr>
      </w:pPr>
      <w:r w:rsidRPr="00F40195">
        <w:rPr>
          <w:rFonts w:cs="Times New Roman"/>
          <w:b/>
          <w:bCs/>
        </w:rPr>
        <w:t>Per-Pupil Spending Adjusted by CWI</w:t>
      </w:r>
    </w:p>
    <w:p w:rsidR="00CC79D7" w:rsidRPr="00F40195" w:rsidRDefault="00CC79D7" w:rsidP="00CC79D7">
      <w:pPr>
        <w:widowControl w:val="0"/>
        <w:autoSpaceDE w:val="0"/>
        <w:autoSpaceDN w:val="0"/>
        <w:adjustRightInd w:val="0"/>
        <w:spacing w:after="240" w:line="240" w:lineRule="auto"/>
        <w:contextualSpacing/>
        <w:jc w:val="center"/>
        <w:rPr>
          <w:rFonts w:cs="Times New Roman"/>
        </w:rPr>
      </w:pPr>
    </w:p>
    <w:tbl>
      <w:tblPr>
        <w:tblStyle w:val="TableGrid"/>
        <w:tblW w:w="0" w:type="auto"/>
        <w:tblLook w:val="04A0" w:firstRow="1" w:lastRow="0" w:firstColumn="1" w:lastColumn="0" w:noHBand="0" w:noVBand="1"/>
      </w:tblPr>
      <w:tblGrid>
        <w:gridCol w:w="1771"/>
        <w:gridCol w:w="1771"/>
        <w:gridCol w:w="1771"/>
        <w:gridCol w:w="1771"/>
        <w:gridCol w:w="1772"/>
      </w:tblGrid>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rPr>
                <w:iCs/>
              </w:rPr>
            </w:pPr>
          </w:p>
        </w:tc>
        <w:tc>
          <w:tcPr>
            <w:tcW w:w="3542" w:type="dxa"/>
            <w:gridSpan w:val="2"/>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 xml:space="preserve">Per Pupil Expenditures                     </w:t>
            </w:r>
            <w:r w:rsidRPr="00F40195">
              <w:rPr>
                <w:i/>
                <w:iCs/>
              </w:rPr>
              <w:t>(National Rank)</w:t>
            </w:r>
          </w:p>
        </w:tc>
        <w:tc>
          <w:tcPr>
            <w:tcW w:w="3543" w:type="dxa"/>
            <w:gridSpan w:val="2"/>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 xml:space="preserve">Growth in Expenditures                 </w:t>
            </w:r>
            <w:r w:rsidRPr="00F40195">
              <w:rPr>
                <w:i/>
                <w:iCs/>
              </w:rPr>
              <w:t>(National Rank)</w:t>
            </w:r>
          </w:p>
        </w:tc>
      </w:tr>
      <w:tr w:rsidR="00F02794" w:rsidRPr="00F40195" w:rsidTr="002F335C">
        <w:trPr>
          <w:trHeight w:val="432"/>
        </w:trPr>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rPr>
                <w:iCs/>
              </w:rPr>
            </w:pPr>
          </w:p>
        </w:tc>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2003-04</w:t>
            </w:r>
          </w:p>
        </w:tc>
        <w:tc>
          <w:tcPr>
            <w:tcW w:w="1771" w:type="dxa"/>
            <w:tcBorders>
              <w:bottom w:val="single" w:sz="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2012-2013</w:t>
            </w:r>
          </w:p>
        </w:tc>
        <w:tc>
          <w:tcPr>
            <w:tcW w:w="1771" w:type="dxa"/>
            <w:tcBorders>
              <w:left w:val="thinThickSmallGap" w:sz="24" w:space="0" w:color="auto"/>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Dollars</w:t>
            </w:r>
          </w:p>
        </w:tc>
        <w:tc>
          <w:tcPr>
            <w:tcW w:w="1772"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Percentages</w:t>
            </w:r>
          </w:p>
        </w:tc>
      </w:tr>
      <w:tr w:rsidR="00F02794" w:rsidRPr="00F40195" w:rsidTr="002F335C">
        <w:trPr>
          <w:trHeight w:val="432"/>
        </w:trPr>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National</w:t>
            </w:r>
          </w:p>
        </w:tc>
        <w:tc>
          <w:tcPr>
            <w:tcW w:w="1771" w:type="dxa"/>
            <w:tcBorders>
              <w:bottom w:val="thinThickSmallGap" w:sz="24" w:space="0" w:color="auto"/>
            </w:tcBorders>
            <w:vAlign w:val="center"/>
          </w:tcPr>
          <w:p w:rsidR="00F02794" w:rsidRPr="00F40195" w:rsidRDefault="00F02794" w:rsidP="00F40195">
            <w:pPr>
              <w:contextualSpacing/>
              <w:jc w:val="right"/>
              <w:rPr>
                <w:color w:val="000000"/>
              </w:rPr>
            </w:pPr>
            <w:r w:rsidRPr="00F40195">
              <w:rPr>
                <w:color w:val="000000"/>
              </w:rPr>
              <w:t>$8,248</w:t>
            </w:r>
          </w:p>
        </w:tc>
        <w:tc>
          <w:tcPr>
            <w:tcW w:w="1771" w:type="dxa"/>
            <w:tcBorders>
              <w:bottom w:val="thinThickSmallGap" w:sz="24" w:space="0" w:color="auto"/>
              <w:right w:val="thinThickSmallGap" w:sz="24" w:space="0" w:color="auto"/>
            </w:tcBorders>
            <w:vAlign w:val="center"/>
          </w:tcPr>
          <w:p w:rsidR="00F02794" w:rsidRPr="00F40195" w:rsidRDefault="00F02794" w:rsidP="00F40195">
            <w:pPr>
              <w:contextualSpacing/>
              <w:jc w:val="right"/>
            </w:pPr>
            <w:r w:rsidRPr="00F40195">
              <w:t>$11,068</w:t>
            </w:r>
          </w:p>
        </w:tc>
        <w:tc>
          <w:tcPr>
            <w:tcW w:w="1771" w:type="dxa"/>
            <w:tcBorders>
              <w:left w:val="thinThickSmallGap" w:sz="24" w:space="0" w:color="auto"/>
              <w:bottom w:val="thinThickSmallGap" w:sz="24" w:space="0" w:color="auto"/>
            </w:tcBorders>
            <w:vAlign w:val="center"/>
          </w:tcPr>
          <w:p w:rsidR="00F02794" w:rsidRPr="00F40195" w:rsidRDefault="00F02794" w:rsidP="00F40195">
            <w:pPr>
              <w:contextualSpacing/>
              <w:jc w:val="right"/>
              <w:rPr>
                <w:color w:val="000000"/>
              </w:rPr>
            </w:pPr>
            <w:r w:rsidRPr="00F40195">
              <w:rPr>
                <w:color w:val="000000"/>
              </w:rPr>
              <w:t>$2,820</w:t>
            </w:r>
          </w:p>
        </w:tc>
        <w:tc>
          <w:tcPr>
            <w:tcW w:w="1772" w:type="dxa"/>
            <w:tcBorders>
              <w:bottom w:val="thinThickSmallGap" w:sz="24" w:space="0" w:color="auto"/>
            </w:tcBorders>
            <w:vAlign w:val="center"/>
          </w:tcPr>
          <w:p w:rsidR="00F02794" w:rsidRPr="00F40195" w:rsidRDefault="00F02794" w:rsidP="00F40195">
            <w:pPr>
              <w:contextualSpacing/>
              <w:jc w:val="right"/>
              <w:rPr>
                <w:color w:val="000000"/>
              </w:rPr>
            </w:pPr>
            <w:r w:rsidRPr="00F40195">
              <w:rPr>
                <w:color w:val="000000"/>
              </w:rPr>
              <w:t>34.2%</w:t>
            </w:r>
          </w:p>
        </w:tc>
      </w:tr>
      <w:tr w:rsidR="00B8510E" w:rsidRPr="00F40195" w:rsidTr="002F335C">
        <w:trPr>
          <w:trHeight w:val="432"/>
        </w:trPr>
        <w:tc>
          <w:tcPr>
            <w:tcW w:w="1771" w:type="dxa"/>
            <w:tcBorders>
              <w:bottom w:val="thinThickSmallGap" w:sz="24" w:space="0" w:color="auto"/>
            </w:tcBorders>
            <w:vAlign w:val="center"/>
          </w:tcPr>
          <w:p w:rsidR="00B8510E" w:rsidRPr="00F40195" w:rsidRDefault="00B8510E" w:rsidP="00F40195">
            <w:pPr>
              <w:widowControl w:val="0"/>
              <w:autoSpaceDE w:val="0"/>
              <w:autoSpaceDN w:val="0"/>
              <w:adjustRightInd w:val="0"/>
              <w:spacing w:after="240"/>
              <w:contextualSpacing/>
              <w:jc w:val="center"/>
              <w:rPr>
                <w:iCs/>
              </w:rPr>
            </w:pPr>
            <w:r>
              <w:rPr>
                <w:iCs/>
              </w:rPr>
              <w:t>Comparative States</w:t>
            </w:r>
          </w:p>
        </w:tc>
        <w:tc>
          <w:tcPr>
            <w:tcW w:w="1771" w:type="dxa"/>
            <w:tcBorders>
              <w:bottom w:val="thinThickSmallGap" w:sz="24" w:space="0" w:color="auto"/>
            </w:tcBorders>
            <w:vAlign w:val="center"/>
          </w:tcPr>
          <w:p w:rsidR="00B8510E" w:rsidRPr="00F40195" w:rsidRDefault="00B8510E" w:rsidP="00F40195">
            <w:pPr>
              <w:contextualSpacing/>
              <w:jc w:val="right"/>
              <w:rPr>
                <w:color w:val="000000"/>
              </w:rPr>
            </w:pPr>
            <w:r>
              <w:rPr>
                <w:color w:val="000000"/>
              </w:rPr>
              <w:t>$7,937</w:t>
            </w:r>
          </w:p>
        </w:tc>
        <w:tc>
          <w:tcPr>
            <w:tcW w:w="1771" w:type="dxa"/>
            <w:tcBorders>
              <w:bottom w:val="thinThickSmallGap" w:sz="24" w:space="0" w:color="auto"/>
              <w:right w:val="thinThickSmallGap" w:sz="24" w:space="0" w:color="auto"/>
            </w:tcBorders>
            <w:vAlign w:val="center"/>
          </w:tcPr>
          <w:p w:rsidR="00B8510E" w:rsidRPr="00F40195" w:rsidRDefault="00B8510E" w:rsidP="00F40195">
            <w:pPr>
              <w:contextualSpacing/>
              <w:jc w:val="right"/>
            </w:pPr>
            <w:r>
              <w:t>$10,743</w:t>
            </w:r>
          </w:p>
        </w:tc>
        <w:tc>
          <w:tcPr>
            <w:tcW w:w="1771" w:type="dxa"/>
            <w:tcBorders>
              <w:left w:val="thinThickSmallGap" w:sz="24" w:space="0" w:color="auto"/>
              <w:bottom w:val="thinThickSmallGap" w:sz="24" w:space="0" w:color="auto"/>
            </w:tcBorders>
            <w:vAlign w:val="center"/>
          </w:tcPr>
          <w:p w:rsidR="00B8510E" w:rsidRPr="00F40195" w:rsidRDefault="00B8510E" w:rsidP="00F40195">
            <w:pPr>
              <w:contextualSpacing/>
              <w:jc w:val="right"/>
              <w:rPr>
                <w:color w:val="000000"/>
              </w:rPr>
            </w:pPr>
            <w:r>
              <w:rPr>
                <w:color w:val="000000"/>
              </w:rPr>
              <w:t>$2,805</w:t>
            </w:r>
          </w:p>
        </w:tc>
        <w:tc>
          <w:tcPr>
            <w:tcW w:w="1772" w:type="dxa"/>
            <w:tcBorders>
              <w:bottom w:val="thinThickSmallGap" w:sz="24" w:space="0" w:color="auto"/>
            </w:tcBorders>
            <w:vAlign w:val="center"/>
          </w:tcPr>
          <w:p w:rsidR="00B8510E" w:rsidRPr="00F40195" w:rsidRDefault="00B8510E" w:rsidP="00F40195">
            <w:pPr>
              <w:contextualSpacing/>
              <w:jc w:val="right"/>
              <w:rPr>
                <w:color w:val="000000"/>
              </w:rPr>
            </w:pPr>
            <w:r>
              <w:rPr>
                <w:color w:val="000000"/>
              </w:rPr>
              <w:t>35.3%</w:t>
            </w:r>
          </w:p>
        </w:tc>
      </w:tr>
      <w:tr w:rsidR="00F02794" w:rsidRPr="00F40195" w:rsidTr="002F335C">
        <w:trPr>
          <w:trHeight w:val="432"/>
        </w:trPr>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Kentucky</w:t>
            </w:r>
          </w:p>
        </w:tc>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$7,855 (29)</w:t>
            </w:r>
          </w:p>
        </w:tc>
        <w:tc>
          <w:tcPr>
            <w:tcW w:w="1771"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contextualSpacing/>
              <w:jc w:val="right"/>
            </w:pPr>
            <w:r w:rsidRPr="00F40195">
              <w:t>$10,646 (29)</w:t>
            </w:r>
          </w:p>
        </w:tc>
        <w:tc>
          <w:tcPr>
            <w:tcW w:w="1771"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$2,791 (26)</w:t>
            </w:r>
          </w:p>
        </w:tc>
        <w:tc>
          <w:tcPr>
            <w:tcW w:w="1772"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35.5% (26)</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Alabama</w:t>
            </w:r>
          </w:p>
        </w:tc>
        <w:tc>
          <w:tcPr>
            <w:tcW w:w="1771" w:type="dxa"/>
            <w:vAlign w:val="center"/>
          </w:tcPr>
          <w:p w:rsidR="00F02794" w:rsidRPr="00F40195" w:rsidRDefault="00F02794" w:rsidP="00F40195">
            <w:pPr>
              <w:contextualSpacing/>
              <w:jc w:val="right"/>
              <w:rPr>
                <w:color w:val="000000"/>
              </w:rPr>
            </w:pPr>
            <w:r w:rsidRPr="00F40195">
              <w:rPr>
                <w:color w:val="000000"/>
              </w:rPr>
              <w:t>$7,107 (38)</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$9,213 (42)</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$2,106 (39)</w:t>
            </w:r>
          </w:p>
        </w:tc>
        <w:tc>
          <w:tcPr>
            <w:tcW w:w="1772" w:type="dxa"/>
            <w:vAlign w:val="center"/>
          </w:tcPr>
          <w:p w:rsidR="00F02794" w:rsidRPr="00F40195" w:rsidRDefault="00F02794" w:rsidP="00F40195">
            <w:pPr>
              <w:contextualSpacing/>
              <w:jc w:val="right"/>
              <w:rPr>
                <w:color w:val="000000"/>
              </w:rPr>
            </w:pPr>
            <w:r w:rsidRPr="00F40195">
              <w:rPr>
                <w:color w:val="000000"/>
              </w:rPr>
              <w:t>29.6% (36)</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Arkansas</w:t>
            </w:r>
          </w:p>
        </w:tc>
        <w:tc>
          <w:tcPr>
            <w:tcW w:w="1771" w:type="dxa"/>
            <w:vAlign w:val="center"/>
          </w:tcPr>
          <w:p w:rsidR="00F02794" w:rsidRPr="00F40195" w:rsidRDefault="00F02794" w:rsidP="00F40195">
            <w:pPr>
              <w:contextualSpacing/>
              <w:jc w:val="right"/>
              <w:rPr>
                <w:color w:val="000000"/>
              </w:rPr>
            </w:pPr>
            <w:r w:rsidRPr="00F40195">
              <w:rPr>
                <w:color w:val="000000"/>
              </w:rPr>
              <w:t>$6,773 (41)</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$14,815 (8)</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$8,042 (</w:t>
            </w:r>
            <w:r w:rsidR="001D6AB2" w:rsidRPr="00F40195">
              <w:rPr>
                <w:color w:val="000000"/>
              </w:rPr>
              <w:t>0</w:t>
            </w:r>
            <w:r w:rsidRPr="00F40195">
              <w:rPr>
                <w:color w:val="000000"/>
              </w:rPr>
              <w:t>3)</w:t>
            </w:r>
          </w:p>
        </w:tc>
        <w:tc>
          <w:tcPr>
            <w:tcW w:w="1772" w:type="dxa"/>
            <w:vAlign w:val="center"/>
          </w:tcPr>
          <w:p w:rsidR="00F02794" w:rsidRPr="00F40195" w:rsidRDefault="00F02794" w:rsidP="00F40195">
            <w:pPr>
              <w:contextualSpacing/>
              <w:jc w:val="right"/>
              <w:rPr>
                <w:color w:val="000000"/>
              </w:rPr>
            </w:pPr>
            <w:r w:rsidRPr="00F40195">
              <w:rPr>
                <w:color w:val="000000"/>
              </w:rPr>
              <w:t>118.7% (</w:t>
            </w:r>
            <w:r w:rsidR="001D6AB2" w:rsidRPr="00F40195">
              <w:rPr>
                <w:color w:val="000000"/>
              </w:rPr>
              <w:t>0</w:t>
            </w:r>
            <w:r w:rsidRPr="00F40195">
              <w:rPr>
                <w:color w:val="000000"/>
              </w:rPr>
              <w:t>1)</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Indiana</w:t>
            </w:r>
          </w:p>
        </w:tc>
        <w:tc>
          <w:tcPr>
            <w:tcW w:w="1771" w:type="dxa"/>
            <w:vAlign w:val="center"/>
          </w:tcPr>
          <w:p w:rsidR="00F02794" w:rsidRPr="00F40195" w:rsidRDefault="00F02794" w:rsidP="00F40195">
            <w:pPr>
              <w:contextualSpacing/>
              <w:jc w:val="right"/>
              <w:rPr>
                <w:color w:val="000000"/>
              </w:rPr>
            </w:pPr>
            <w:r w:rsidRPr="00F40195">
              <w:rPr>
                <w:color w:val="000000"/>
              </w:rPr>
              <w:t>$8,841 (17)</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$12,106 (18)</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$3,266 (20)</w:t>
            </w:r>
          </w:p>
        </w:tc>
        <w:tc>
          <w:tcPr>
            <w:tcW w:w="1772" w:type="dxa"/>
            <w:vAlign w:val="center"/>
          </w:tcPr>
          <w:p w:rsidR="00F02794" w:rsidRPr="00F40195" w:rsidRDefault="00F02794" w:rsidP="00F40195">
            <w:pPr>
              <w:contextualSpacing/>
              <w:jc w:val="right"/>
              <w:rPr>
                <w:color w:val="000000"/>
              </w:rPr>
            </w:pPr>
            <w:r w:rsidRPr="00F40195">
              <w:rPr>
                <w:color w:val="000000"/>
              </w:rPr>
              <w:t>36.9% (24)</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Missouri</w:t>
            </w:r>
          </w:p>
        </w:tc>
        <w:tc>
          <w:tcPr>
            <w:tcW w:w="1771" w:type="dxa"/>
            <w:vAlign w:val="center"/>
          </w:tcPr>
          <w:p w:rsidR="00F02794" w:rsidRPr="00F40195" w:rsidRDefault="00F02794" w:rsidP="00F40195">
            <w:pPr>
              <w:contextualSpacing/>
              <w:jc w:val="right"/>
              <w:rPr>
                <w:color w:val="000000"/>
              </w:rPr>
            </w:pPr>
            <w:r w:rsidRPr="00F40195">
              <w:rPr>
                <w:color w:val="000000"/>
              </w:rPr>
              <w:t>$7,219 (37)</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$10,873 (25)</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$3,655 (16)</w:t>
            </w:r>
          </w:p>
        </w:tc>
        <w:tc>
          <w:tcPr>
            <w:tcW w:w="1772" w:type="dxa"/>
            <w:vAlign w:val="center"/>
          </w:tcPr>
          <w:p w:rsidR="00F02794" w:rsidRPr="00F40195" w:rsidRDefault="00F02794" w:rsidP="00F40195">
            <w:pPr>
              <w:contextualSpacing/>
              <w:jc w:val="right"/>
              <w:rPr>
                <w:color w:val="000000"/>
              </w:rPr>
            </w:pPr>
            <w:r w:rsidRPr="00F40195">
              <w:rPr>
                <w:color w:val="000000"/>
              </w:rPr>
              <w:t>50.6% (15)</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Ohio</w:t>
            </w:r>
          </w:p>
        </w:tc>
        <w:tc>
          <w:tcPr>
            <w:tcW w:w="1771" w:type="dxa"/>
            <w:vAlign w:val="center"/>
          </w:tcPr>
          <w:p w:rsidR="00F02794" w:rsidRPr="00F40195" w:rsidRDefault="00F02794" w:rsidP="00F40195">
            <w:pPr>
              <w:contextualSpacing/>
              <w:jc w:val="right"/>
              <w:rPr>
                <w:color w:val="000000"/>
              </w:rPr>
            </w:pPr>
            <w:r w:rsidRPr="00F40195">
              <w:rPr>
                <w:color w:val="000000"/>
              </w:rPr>
              <w:t>$8,786 (18)</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$10,051 (34)</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$1,265 (48)</w:t>
            </w:r>
          </w:p>
        </w:tc>
        <w:tc>
          <w:tcPr>
            <w:tcW w:w="1772" w:type="dxa"/>
            <w:vAlign w:val="center"/>
          </w:tcPr>
          <w:p w:rsidR="00F02794" w:rsidRPr="00F40195" w:rsidRDefault="00F02794" w:rsidP="00F40195">
            <w:pPr>
              <w:contextualSpacing/>
              <w:jc w:val="right"/>
              <w:rPr>
                <w:color w:val="000000"/>
              </w:rPr>
            </w:pPr>
            <w:r w:rsidRPr="00F40195">
              <w:rPr>
                <w:color w:val="000000"/>
              </w:rPr>
              <w:t>14.4% (48)</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Tennessee</w:t>
            </w:r>
          </w:p>
        </w:tc>
        <w:tc>
          <w:tcPr>
            <w:tcW w:w="1771" w:type="dxa"/>
            <w:vAlign w:val="center"/>
          </w:tcPr>
          <w:p w:rsidR="00F02794" w:rsidRPr="00F40195" w:rsidRDefault="00F02794" w:rsidP="00F40195">
            <w:pPr>
              <w:contextualSpacing/>
              <w:jc w:val="right"/>
              <w:rPr>
                <w:color w:val="000000"/>
              </w:rPr>
            </w:pPr>
            <w:r w:rsidRPr="00F40195">
              <w:rPr>
                <w:color w:val="000000"/>
              </w:rPr>
              <w:t>$6,554 (46)</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$8,971 (43)</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$2,417 (34)</w:t>
            </w:r>
          </w:p>
        </w:tc>
        <w:tc>
          <w:tcPr>
            <w:tcW w:w="1772" w:type="dxa"/>
            <w:vAlign w:val="center"/>
          </w:tcPr>
          <w:p w:rsidR="00F02794" w:rsidRPr="00F40195" w:rsidRDefault="00F02794" w:rsidP="00F40195">
            <w:pPr>
              <w:contextualSpacing/>
              <w:jc w:val="right"/>
              <w:rPr>
                <w:color w:val="000000"/>
              </w:rPr>
            </w:pPr>
            <w:r w:rsidRPr="00F40195">
              <w:rPr>
                <w:color w:val="000000"/>
              </w:rPr>
              <w:t>36.9% (25)</w:t>
            </w:r>
          </w:p>
        </w:tc>
      </w:tr>
      <w:tr w:rsidR="00F02794" w:rsidRPr="00F40195" w:rsidTr="002F335C">
        <w:trPr>
          <w:trHeight w:val="432"/>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West Virginia</w:t>
            </w:r>
          </w:p>
        </w:tc>
        <w:tc>
          <w:tcPr>
            <w:tcW w:w="1771" w:type="dxa"/>
            <w:vAlign w:val="center"/>
          </w:tcPr>
          <w:p w:rsidR="00F02794" w:rsidRPr="00F40195" w:rsidRDefault="00F02794" w:rsidP="00F40195">
            <w:pPr>
              <w:contextualSpacing/>
              <w:jc w:val="right"/>
              <w:rPr>
                <w:color w:val="000000"/>
              </w:rPr>
            </w:pPr>
            <w:r w:rsidRPr="00F40195">
              <w:rPr>
                <w:color w:val="000000"/>
              </w:rPr>
              <w:t>$9,959 (</w:t>
            </w:r>
            <w:r w:rsidR="001D6AB2" w:rsidRPr="00F40195">
              <w:rPr>
                <w:color w:val="000000"/>
              </w:rPr>
              <w:t>0</w:t>
            </w:r>
            <w:r w:rsidRPr="00F40195">
              <w:rPr>
                <w:color w:val="000000"/>
              </w:rPr>
              <w:t>6)</w:t>
            </w:r>
          </w:p>
        </w:tc>
        <w:tc>
          <w:tcPr>
            <w:tcW w:w="1771" w:type="dxa"/>
            <w:tcBorders>
              <w:right w:val="thinThickSmallGap" w:sz="24" w:space="0" w:color="auto"/>
            </w:tcBorders>
            <w:vAlign w:val="center"/>
          </w:tcPr>
          <w:p w:rsidR="00F02794" w:rsidRPr="00F40195" w:rsidRDefault="00F02794" w:rsidP="00F40195">
            <w:pPr>
              <w:contextualSpacing/>
              <w:jc w:val="right"/>
            </w:pPr>
            <w:r w:rsidRPr="00F40195">
              <w:t>$13,175 (14)</w:t>
            </w:r>
          </w:p>
        </w:tc>
        <w:tc>
          <w:tcPr>
            <w:tcW w:w="1771" w:type="dxa"/>
            <w:tcBorders>
              <w:left w:val="thinThickSmallGap" w:sz="24" w:space="0" w:color="auto"/>
            </w:tcBorders>
            <w:vAlign w:val="center"/>
          </w:tcPr>
          <w:p w:rsidR="00F02794" w:rsidRPr="00F40195" w:rsidRDefault="00F02794" w:rsidP="00F40195">
            <w:pPr>
              <w:contextualSpacing/>
              <w:jc w:val="right"/>
              <w:rPr>
                <w:color w:val="000000"/>
              </w:rPr>
            </w:pPr>
            <w:r w:rsidRPr="00F40195">
              <w:rPr>
                <w:color w:val="000000"/>
              </w:rPr>
              <w:t>$3,216 (22)</w:t>
            </w:r>
          </w:p>
        </w:tc>
        <w:tc>
          <w:tcPr>
            <w:tcW w:w="1772" w:type="dxa"/>
            <w:vAlign w:val="center"/>
          </w:tcPr>
          <w:p w:rsidR="00F02794" w:rsidRPr="00F40195" w:rsidRDefault="00F02794" w:rsidP="00F40195">
            <w:pPr>
              <w:contextualSpacing/>
              <w:jc w:val="right"/>
              <w:rPr>
                <w:color w:val="000000"/>
              </w:rPr>
            </w:pPr>
            <w:r w:rsidRPr="00F40195">
              <w:rPr>
                <w:color w:val="000000"/>
              </w:rPr>
              <w:t>32.3% (31)</w:t>
            </w:r>
          </w:p>
        </w:tc>
      </w:tr>
    </w:tbl>
    <w:p w:rsidR="00F02794" w:rsidRPr="00F40195" w:rsidRDefault="00F02794" w:rsidP="00F40195">
      <w:pPr>
        <w:widowControl w:val="0"/>
        <w:autoSpaceDE w:val="0"/>
        <w:autoSpaceDN w:val="0"/>
        <w:adjustRightInd w:val="0"/>
        <w:spacing w:after="240" w:line="240" w:lineRule="auto"/>
        <w:rPr>
          <w:rFonts w:cs="Times New Roman"/>
          <w:i/>
          <w:iCs/>
        </w:rPr>
      </w:pPr>
      <w:r w:rsidRPr="00F40195">
        <w:rPr>
          <w:rFonts w:cs="Times New Roman"/>
          <w:iCs/>
        </w:rPr>
        <w:t>Source: National Education Association’s Rankings &amp; Estimates</w:t>
      </w:r>
      <w:r w:rsidR="00E2519A">
        <w:rPr>
          <w:rFonts w:cs="Times New Roman"/>
          <w:iCs/>
        </w:rPr>
        <w:t xml:space="preserve"> (2014)</w:t>
      </w:r>
    </w:p>
    <w:p w:rsidR="00F02794" w:rsidRPr="00F40195" w:rsidRDefault="00F02794" w:rsidP="008D674A">
      <w:pPr>
        <w:pStyle w:val="Heading3"/>
      </w:pPr>
      <w:bookmarkStart w:id="41" w:name="_Toc385250713"/>
      <w:bookmarkStart w:id="42" w:name="_Toc395180655"/>
      <w:r w:rsidRPr="00F40195">
        <w:t>State Financial Commitment to Education</w:t>
      </w:r>
      <w:bookmarkEnd w:id="41"/>
      <w:bookmarkEnd w:id="42"/>
    </w:p>
    <w:p w:rsidR="00F02794" w:rsidRPr="00F40195" w:rsidRDefault="00CB0504" w:rsidP="00F40195">
      <w:pPr>
        <w:widowControl w:val="0"/>
        <w:autoSpaceDE w:val="0"/>
        <w:autoSpaceDN w:val="0"/>
        <w:adjustRightInd w:val="0"/>
        <w:spacing w:after="240" w:line="240" w:lineRule="auto"/>
        <w:rPr>
          <w:rFonts w:cs="Times New Roman"/>
        </w:rPr>
      </w:pPr>
      <w:r>
        <w:rPr>
          <w:rFonts w:cs="Times New Roman"/>
        </w:rPr>
        <w:t>I</w:t>
      </w:r>
      <w:r w:rsidR="00F02794" w:rsidRPr="00F40195">
        <w:rPr>
          <w:rFonts w:cs="Times New Roman"/>
        </w:rPr>
        <w:t xml:space="preserve">n comparing per pupil expenditures for education across states </w:t>
      </w:r>
      <w:r>
        <w:rPr>
          <w:rFonts w:cs="Times New Roman"/>
        </w:rPr>
        <w:t xml:space="preserve">it </w:t>
      </w:r>
      <w:r w:rsidR="00F02794" w:rsidRPr="00F40195">
        <w:rPr>
          <w:rFonts w:cs="Times New Roman"/>
        </w:rPr>
        <w:t xml:space="preserve">is </w:t>
      </w:r>
      <w:r>
        <w:rPr>
          <w:rFonts w:cs="Times New Roman"/>
        </w:rPr>
        <w:t xml:space="preserve">important </w:t>
      </w:r>
      <w:r w:rsidR="00F02794" w:rsidRPr="00F40195">
        <w:rPr>
          <w:rFonts w:cs="Times New Roman"/>
        </w:rPr>
        <w:t xml:space="preserve">to consider how “hard” a state works to reach its spending level. One approach for estimating this level of effort is to analyze K-12 education expenditures per $1,000 of personal income. State and local spending for K-12 education in Kentucky during the 2009-10 school </w:t>
      </w:r>
      <w:proofErr w:type="gramStart"/>
      <w:r w:rsidR="00F02794" w:rsidRPr="00F40195">
        <w:rPr>
          <w:rFonts w:cs="Times New Roman"/>
        </w:rPr>
        <w:t>year</w:t>
      </w:r>
      <w:proofErr w:type="gramEnd"/>
      <w:r w:rsidR="00F02794" w:rsidRPr="00F40195">
        <w:rPr>
          <w:rFonts w:cs="Times New Roman"/>
        </w:rPr>
        <w:t xml:space="preserve"> (the most recent year for which data are available) was $42 per $1,000 of personal income. Kentucky has the 26</w:t>
      </w:r>
      <w:r w:rsidR="00F02794" w:rsidRPr="00F40195">
        <w:rPr>
          <w:rFonts w:cs="Times New Roman"/>
          <w:vertAlign w:val="superscript"/>
        </w:rPr>
        <w:t>th</w:t>
      </w:r>
      <w:r w:rsidR="00F02794" w:rsidRPr="00F40195">
        <w:rPr>
          <w:rFonts w:cs="Times New Roman"/>
        </w:rPr>
        <w:t xml:space="preserve"> highest level of effort in supporting education when computed in this manner. The national average in 2009-10 was $41 per $1,000 of income, a figure that was unchanged from 1999-2000. In the other comparative states in 2009-10, the amount ranged from $32 in Iowa to $49 in West Virginia. See Table 2.6 for more detailed findings.</w:t>
      </w:r>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Another way to assess a state’s fiscal commitment to education is to determine the percentage of the state’s budget devoted to K-12 public schools. During the 2012-13 fiscal </w:t>
      </w:r>
      <w:proofErr w:type="gramStart"/>
      <w:r w:rsidRPr="00F40195">
        <w:rPr>
          <w:rFonts w:cs="Times New Roman"/>
        </w:rPr>
        <w:t>year</w:t>
      </w:r>
      <w:proofErr w:type="gramEnd"/>
      <w:r w:rsidRPr="00F40195">
        <w:rPr>
          <w:rFonts w:cs="Times New Roman"/>
        </w:rPr>
        <w:t xml:space="preserve"> K-12 expenditures accounted for 19.6</w:t>
      </w:r>
      <w:r w:rsidR="00371FF9" w:rsidRPr="00F40195">
        <w:rPr>
          <w:rFonts w:cs="Times New Roman"/>
        </w:rPr>
        <w:t xml:space="preserve"> percent</w:t>
      </w:r>
      <w:r w:rsidRPr="00F40195">
        <w:rPr>
          <w:rFonts w:cs="Times New Roman"/>
        </w:rPr>
        <w:t xml:space="preserve"> of total state expenditures in Kentucky while the national average was 20.0</w:t>
      </w:r>
      <w:r w:rsidR="00371FF9" w:rsidRPr="00F40195">
        <w:rPr>
          <w:rFonts w:cs="Times New Roman"/>
        </w:rPr>
        <w:t xml:space="preserve"> percent</w:t>
      </w:r>
      <w:r w:rsidRPr="00F40195">
        <w:rPr>
          <w:rFonts w:cs="Times New Roman"/>
        </w:rPr>
        <w:t xml:space="preserve">. The percentage of Kentucky’s budget going to K-12 education has </w:t>
      </w:r>
      <w:r w:rsidR="00CB0504" w:rsidRPr="00F40195">
        <w:rPr>
          <w:rFonts w:cs="Times New Roman"/>
        </w:rPr>
        <w:t>re</w:t>
      </w:r>
      <w:r w:rsidR="00CB0504">
        <w:rPr>
          <w:rFonts w:cs="Times New Roman"/>
        </w:rPr>
        <w:t>maine</w:t>
      </w:r>
      <w:r w:rsidR="00CB0504" w:rsidRPr="00F40195">
        <w:rPr>
          <w:rFonts w:cs="Times New Roman"/>
        </w:rPr>
        <w:t xml:space="preserve">d </w:t>
      </w:r>
      <w:r w:rsidRPr="00F40195">
        <w:rPr>
          <w:rFonts w:cs="Times New Roman"/>
        </w:rPr>
        <w:t>fairly consistent since 2003-04 – only varying from a high of 20.6</w:t>
      </w:r>
      <w:r w:rsidR="00371FF9" w:rsidRPr="00F40195">
        <w:rPr>
          <w:rFonts w:cs="Times New Roman"/>
        </w:rPr>
        <w:t xml:space="preserve"> </w:t>
      </w:r>
      <w:r w:rsidR="00371FF9" w:rsidRPr="00F40195">
        <w:rPr>
          <w:rFonts w:cs="Times New Roman"/>
        </w:rPr>
        <w:lastRenderedPageBreak/>
        <w:t>percent</w:t>
      </w:r>
      <w:r w:rsidRPr="00F40195">
        <w:rPr>
          <w:rFonts w:cs="Times New Roman"/>
        </w:rPr>
        <w:t xml:space="preserve"> in 2007- 08 to a low of 19.3</w:t>
      </w:r>
      <w:r w:rsidR="00371FF9" w:rsidRPr="00F40195">
        <w:rPr>
          <w:rFonts w:cs="Times New Roman"/>
        </w:rPr>
        <w:t xml:space="preserve"> percent</w:t>
      </w:r>
      <w:r w:rsidRPr="00F40195">
        <w:rPr>
          <w:rFonts w:cs="Times New Roman"/>
        </w:rPr>
        <w:t xml:space="preserve"> in 2003-04 (National Association of State Budget Officers, 2012). Table 2.7 summarizes the share of each comparative state’s budget devoted to K-12 education in 2003-04 and 2010-11.</w:t>
      </w:r>
    </w:p>
    <w:p w:rsidR="00CC79D7" w:rsidRDefault="00CC79D7" w:rsidP="00F40195">
      <w:pPr>
        <w:widowControl w:val="0"/>
        <w:autoSpaceDE w:val="0"/>
        <w:autoSpaceDN w:val="0"/>
        <w:adjustRightInd w:val="0"/>
        <w:spacing w:line="240" w:lineRule="auto"/>
        <w:rPr>
          <w:rFonts w:cs="Times New Roman"/>
          <w:noProof/>
        </w:rPr>
      </w:pPr>
      <w:r>
        <w:rPr>
          <w:rFonts w:cs="Times New Roman"/>
          <w:noProof/>
        </w:rPr>
        <w:t xml:space="preserve"> </w:t>
      </w:r>
    </w:p>
    <w:p w:rsidR="00A97BAF" w:rsidRDefault="00A97BAF" w:rsidP="00A97BAF">
      <w:pPr>
        <w:widowControl w:val="0"/>
        <w:autoSpaceDE w:val="0"/>
        <w:autoSpaceDN w:val="0"/>
        <w:adjustRightInd w:val="0"/>
        <w:spacing w:line="240" w:lineRule="auto"/>
        <w:jc w:val="center"/>
        <w:rPr>
          <w:rFonts w:cs="Times New Roman"/>
          <w:b/>
          <w:bCs/>
        </w:rPr>
      </w:pPr>
      <w:r>
        <w:rPr>
          <w:rFonts w:cs="Times New Roman"/>
          <w:b/>
          <w:bCs/>
        </w:rPr>
        <w:t>Table 2.6</w:t>
      </w:r>
    </w:p>
    <w:p w:rsidR="00F02794" w:rsidRDefault="00F02794" w:rsidP="00A97BAF">
      <w:pPr>
        <w:widowControl w:val="0"/>
        <w:autoSpaceDE w:val="0"/>
        <w:autoSpaceDN w:val="0"/>
        <w:adjustRightInd w:val="0"/>
        <w:spacing w:line="240" w:lineRule="auto"/>
        <w:jc w:val="center"/>
        <w:rPr>
          <w:rFonts w:cs="Times New Roman"/>
          <w:b/>
          <w:bCs/>
        </w:rPr>
      </w:pPr>
      <w:r w:rsidRPr="00F40195">
        <w:rPr>
          <w:rFonts w:cs="Times New Roman"/>
          <w:b/>
          <w:bCs/>
        </w:rPr>
        <w:t>K-12 Spending Per $1,000 of Income</w:t>
      </w:r>
    </w:p>
    <w:p w:rsidR="00A97BAF" w:rsidRPr="00F40195" w:rsidRDefault="00A97BAF" w:rsidP="00A97BAF">
      <w:pPr>
        <w:widowControl w:val="0"/>
        <w:autoSpaceDE w:val="0"/>
        <w:autoSpaceDN w:val="0"/>
        <w:adjustRightInd w:val="0"/>
        <w:spacing w:line="240" w:lineRule="auto"/>
        <w:jc w:val="center"/>
        <w:rPr>
          <w:rFonts w:cs="Times New Roman"/>
          <w:b/>
          <w:bCs/>
        </w:rPr>
      </w:pPr>
    </w:p>
    <w:tbl>
      <w:tblPr>
        <w:tblStyle w:val="TableGrid"/>
        <w:tblW w:w="0" w:type="auto"/>
        <w:tblInd w:w="-72" w:type="dxa"/>
        <w:tblLook w:val="04A0" w:firstRow="1" w:lastRow="0" w:firstColumn="1" w:lastColumn="0" w:noHBand="0" w:noVBand="1"/>
      </w:tblPr>
      <w:tblGrid>
        <w:gridCol w:w="1843"/>
        <w:gridCol w:w="1771"/>
        <w:gridCol w:w="2146"/>
        <w:gridCol w:w="1396"/>
        <w:gridCol w:w="1772"/>
      </w:tblGrid>
      <w:tr w:rsidR="00F02794" w:rsidRPr="00F40195" w:rsidTr="002F335C">
        <w:tc>
          <w:tcPr>
            <w:tcW w:w="1843" w:type="dxa"/>
            <w:vMerge w:val="restart"/>
          </w:tcPr>
          <w:p w:rsidR="00F02794" w:rsidRPr="00F40195" w:rsidRDefault="00F02794" w:rsidP="00F40195">
            <w:pPr>
              <w:widowControl w:val="0"/>
              <w:autoSpaceDE w:val="0"/>
              <w:autoSpaceDN w:val="0"/>
              <w:adjustRightInd w:val="0"/>
              <w:spacing w:after="240"/>
              <w:contextualSpacing/>
            </w:pPr>
          </w:p>
        </w:tc>
        <w:tc>
          <w:tcPr>
            <w:tcW w:w="3917" w:type="dxa"/>
            <w:gridSpan w:val="2"/>
          </w:tcPr>
          <w:p w:rsidR="00F02794" w:rsidRPr="00F40195" w:rsidRDefault="00F02794" w:rsidP="00F40195">
            <w:pPr>
              <w:widowControl w:val="0"/>
              <w:autoSpaceDE w:val="0"/>
              <w:autoSpaceDN w:val="0"/>
              <w:adjustRightInd w:val="0"/>
              <w:spacing w:after="240"/>
              <w:contextualSpacing/>
              <w:jc w:val="center"/>
            </w:pPr>
            <w:r w:rsidRPr="00F40195">
              <w:t xml:space="preserve">K-12 Spending per $1,000 of Income  </w:t>
            </w:r>
            <w:r w:rsidRPr="00F40195">
              <w:rPr>
                <w:i/>
              </w:rPr>
              <w:t>(National Rank)</w:t>
            </w:r>
          </w:p>
        </w:tc>
        <w:tc>
          <w:tcPr>
            <w:tcW w:w="3168" w:type="dxa"/>
            <w:gridSpan w:val="2"/>
          </w:tcPr>
          <w:p w:rsidR="00F02794" w:rsidRPr="00F40195" w:rsidRDefault="00F02794" w:rsidP="00F40195">
            <w:pPr>
              <w:widowControl w:val="0"/>
              <w:autoSpaceDE w:val="0"/>
              <w:autoSpaceDN w:val="0"/>
              <w:adjustRightInd w:val="0"/>
              <w:spacing w:after="240"/>
              <w:contextualSpacing/>
              <w:jc w:val="center"/>
            </w:pPr>
            <w:r w:rsidRPr="00F40195">
              <w:t xml:space="preserve">Change in Expenditures     </w:t>
            </w:r>
            <w:r w:rsidRPr="00F40195">
              <w:rPr>
                <w:i/>
              </w:rPr>
              <w:t>(National Rank)</w:t>
            </w:r>
          </w:p>
        </w:tc>
      </w:tr>
      <w:tr w:rsidR="00F02794" w:rsidRPr="00F40195" w:rsidTr="002F335C">
        <w:tc>
          <w:tcPr>
            <w:tcW w:w="1843" w:type="dxa"/>
            <w:vMerge/>
          </w:tcPr>
          <w:p w:rsidR="00F02794" w:rsidRPr="00F40195" w:rsidRDefault="00F02794" w:rsidP="00F40195">
            <w:pPr>
              <w:widowControl w:val="0"/>
              <w:autoSpaceDE w:val="0"/>
              <w:autoSpaceDN w:val="0"/>
              <w:adjustRightInd w:val="0"/>
              <w:spacing w:after="240"/>
              <w:contextualSpacing/>
            </w:pPr>
          </w:p>
        </w:tc>
        <w:tc>
          <w:tcPr>
            <w:tcW w:w="1771" w:type="dxa"/>
          </w:tcPr>
          <w:p w:rsidR="00F02794" w:rsidRPr="00F40195" w:rsidRDefault="00F02794" w:rsidP="00F40195">
            <w:pPr>
              <w:widowControl w:val="0"/>
              <w:autoSpaceDE w:val="0"/>
              <w:autoSpaceDN w:val="0"/>
              <w:adjustRightInd w:val="0"/>
              <w:spacing w:after="240"/>
              <w:contextualSpacing/>
              <w:jc w:val="center"/>
            </w:pPr>
            <w:r w:rsidRPr="00F40195">
              <w:t>2000-2001</w:t>
            </w:r>
          </w:p>
        </w:tc>
        <w:tc>
          <w:tcPr>
            <w:tcW w:w="2146"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2009-2010</w:t>
            </w:r>
          </w:p>
        </w:tc>
        <w:tc>
          <w:tcPr>
            <w:tcW w:w="139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Dollars</w:t>
            </w:r>
          </w:p>
        </w:tc>
        <w:tc>
          <w:tcPr>
            <w:tcW w:w="1772" w:type="dxa"/>
          </w:tcPr>
          <w:p w:rsidR="00F02794" w:rsidRPr="00F40195" w:rsidRDefault="00F02794" w:rsidP="00F40195">
            <w:pPr>
              <w:widowControl w:val="0"/>
              <w:autoSpaceDE w:val="0"/>
              <w:autoSpaceDN w:val="0"/>
              <w:adjustRightInd w:val="0"/>
              <w:spacing w:after="240"/>
              <w:contextualSpacing/>
              <w:jc w:val="center"/>
            </w:pPr>
            <w:r w:rsidRPr="00F40195">
              <w:t>Percentages</w:t>
            </w:r>
          </w:p>
        </w:tc>
      </w:tr>
      <w:tr w:rsidR="00F02794" w:rsidRPr="00F40195" w:rsidTr="002F335C">
        <w:trPr>
          <w:trHeight w:val="432"/>
        </w:trPr>
        <w:tc>
          <w:tcPr>
            <w:tcW w:w="1843"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w:t>
            </w:r>
            <w:r w:rsidR="00D664C2">
              <w:t>2</w:t>
            </w:r>
          </w:p>
        </w:tc>
        <w:tc>
          <w:tcPr>
            <w:tcW w:w="2146" w:type="dxa"/>
            <w:tcBorders>
              <w:bottom w:val="thinThickSmallGap" w:sz="2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$41</w:t>
            </w:r>
          </w:p>
        </w:tc>
        <w:tc>
          <w:tcPr>
            <w:tcW w:w="1396" w:type="dxa"/>
            <w:tcBorders>
              <w:left w:val="thinThickSmallGap" w:sz="24" w:space="0" w:color="auto"/>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-$1</w:t>
            </w:r>
          </w:p>
        </w:tc>
        <w:tc>
          <w:tcPr>
            <w:tcW w:w="1772"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-2.4%</w:t>
            </w:r>
          </w:p>
        </w:tc>
      </w:tr>
      <w:tr w:rsidR="00D664C2" w:rsidRPr="00F40195" w:rsidTr="002F335C">
        <w:trPr>
          <w:trHeight w:val="432"/>
        </w:trPr>
        <w:tc>
          <w:tcPr>
            <w:tcW w:w="1843" w:type="dxa"/>
            <w:tcBorders>
              <w:bottom w:val="thinThickSmallGap" w:sz="24" w:space="0" w:color="auto"/>
            </w:tcBorders>
            <w:vAlign w:val="center"/>
          </w:tcPr>
          <w:p w:rsidR="00D664C2" w:rsidRPr="00F40195" w:rsidRDefault="00D664C2" w:rsidP="00F40195">
            <w:pPr>
              <w:widowControl w:val="0"/>
              <w:autoSpaceDE w:val="0"/>
              <w:autoSpaceDN w:val="0"/>
              <w:adjustRightInd w:val="0"/>
              <w:spacing w:after="240"/>
              <w:contextualSpacing/>
              <w:jc w:val="center"/>
            </w:pPr>
            <w:r>
              <w:t>Comparative States</w:t>
            </w:r>
          </w:p>
        </w:tc>
        <w:tc>
          <w:tcPr>
            <w:tcW w:w="1771" w:type="dxa"/>
            <w:tcBorders>
              <w:bottom w:val="thinThickSmallGap" w:sz="24" w:space="0" w:color="auto"/>
            </w:tcBorders>
            <w:vAlign w:val="center"/>
          </w:tcPr>
          <w:p w:rsidR="00D664C2" w:rsidRPr="00F40195" w:rsidRDefault="00D664C2" w:rsidP="00F40195">
            <w:pPr>
              <w:widowControl w:val="0"/>
              <w:autoSpaceDE w:val="0"/>
              <w:autoSpaceDN w:val="0"/>
              <w:adjustRightInd w:val="0"/>
              <w:spacing w:after="240"/>
              <w:contextualSpacing/>
              <w:jc w:val="center"/>
            </w:pPr>
            <w:r>
              <w:t>$43</w:t>
            </w:r>
          </w:p>
        </w:tc>
        <w:tc>
          <w:tcPr>
            <w:tcW w:w="2146" w:type="dxa"/>
            <w:tcBorders>
              <w:bottom w:val="thinThickSmallGap" w:sz="24" w:space="0" w:color="auto"/>
              <w:right w:val="thinThickSmallGap" w:sz="24" w:space="0" w:color="auto"/>
            </w:tcBorders>
            <w:vAlign w:val="center"/>
          </w:tcPr>
          <w:p w:rsidR="00D664C2" w:rsidRPr="00F40195" w:rsidRDefault="00D664C2" w:rsidP="00F40195">
            <w:pPr>
              <w:widowControl w:val="0"/>
              <w:autoSpaceDE w:val="0"/>
              <w:autoSpaceDN w:val="0"/>
              <w:adjustRightInd w:val="0"/>
              <w:spacing w:after="240"/>
              <w:contextualSpacing/>
              <w:jc w:val="center"/>
            </w:pPr>
            <w:r>
              <w:t>$42</w:t>
            </w:r>
          </w:p>
        </w:tc>
        <w:tc>
          <w:tcPr>
            <w:tcW w:w="1396" w:type="dxa"/>
            <w:tcBorders>
              <w:left w:val="thinThickSmallGap" w:sz="24" w:space="0" w:color="auto"/>
              <w:bottom w:val="thinThickSmallGap" w:sz="24" w:space="0" w:color="auto"/>
            </w:tcBorders>
            <w:vAlign w:val="center"/>
          </w:tcPr>
          <w:p w:rsidR="00D664C2" w:rsidRPr="00F40195" w:rsidRDefault="00D664C2" w:rsidP="00F40195">
            <w:pPr>
              <w:widowControl w:val="0"/>
              <w:autoSpaceDE w:val="0"/>
              <w:autoSpaceDN w:val="0"/>
              <w:adjustRightInd w:val="0"/>
              <w:spacing w:after="240"/>
              <w:contextualSpacing/>
              <w:jc w:val="center"/>
            </w:pPr>
            <w:r>
              <w:t>-$1</w:t>
            </w:r>
          </w:p>
        </w:tc>
        <w:tc>
          <w:tcPr>
            <w:tcW w:w="1772" w:type="dxa"/>
            <w:tcBorders>
              <w:bottom w:val="thinThickSmallGap" w:sz="24" w:space="0" w:color="auto"/>
            </w:tcBorders>
            <w:vAlign w:val="center"/>
          </w:tcPr>
          <w:p w:rsidR="00D664C2" w:rsidRPr="00F40195" w:rsidRDefault="008646B4" w:rsidP="00F40195">
            <w:pPr>
              <w:widowControl w:val="0"/>
              <w:autoSpaceDE w:val="0"/>
              <w:autoSpaceDN w:val="0"/>
              <w:adjustRightInd w:val="0"/>
              <w:spacing w:after="240"/>
              <w:contextualSpacing/>
              <w:jc w:val="center"/>
            </w:pPr>
            <w:r>
              <w:t>-2.3%</w:t>
            </w:r>
          </w:p>
        </w:tc>
      </w:tr>
      <w:tr w:rsidR="00F02794" w:rsidRPr="00F40195" w:rsidTr="002F335C">
        <w:trPr>
          <w:trHeight w:val="432"/>
        </w:trPr>
        <w:tc>
          <w:tcPr>
            <w:tcW w:w="1843"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$41 (28)</w:t>
            </w:r>
          </w:p>
        </w:tc>
        <w:tc>
          <w:tcPr>
            <w:tcW w:w="2146"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$42 (26)</w:t>
            </w:r>
          </w:p>
        </w:tc>
        <w:tc>
          <w:tcPr>
            <w:tcW w:w="1396"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 (17)</w:t>
            </w:r>
          </w:p>
        </w:tc>
        <w:tc>
          <w:tcPr>
            <w:tcW w:w="1772"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2.4% (18)</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$40 (34)</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$37 (40)</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-$3 (33)</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-7.5% (35)</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$41 (28)</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$44 (16)</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$3 (12)</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7.3% (13)</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$50 (4)</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$46 (10)</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 (36)</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-8.0% (36)</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$41 (28)</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$43 (20)</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$2 (14)</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4.9% (16)</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$48 (10)</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$41 (28)</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-$7 (45)</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-14.6% (45)</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$31 (50)</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$32 (46)</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 (17)</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3.2% (17)</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$52 (</w:t>
            </w:r>
            <w:r w:rsidR="001D6AB2" w:rsidRPr="00F40195">
              <w:t>0</w:t>
            </w:r>
            <w:r w:rsidRPr="00F40195">
              <w:t>3)</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$49 (9)</w:t>
            </w:r>
          </w:p>
        </w:tc>
        <w:tc>
          <w:tcPr>
            <w:tcW w:w="139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 xml:space="preserve">-$3 (33) </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 xml:space="preserve">-5.8% (33) </w:t>
            </w:r>
          </w:p>
        </w:tc>
      </w:tr>
    </w:tbl>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Source: National Education Association </w:t>
      </w:r>
    </w:p>
    <w:p w:rsidR="00747BDE" w:rsidRDefault="00747BDE">
      <w:pPr>
        <w:rPr>
          <w:rFonts w:cs="Times New Roman"/>
          <w:b/>
          <w:bCs/>
        </w:rPr>
      </w:pPr>
      <w:r>
        <w:rPr>
          <w:rFonts w:cs="Times New Roman"/>
          <w:b/>
          <w:bCs/>
        </w:rPr>
        <w:br w:type="page"/>
      </w:r>
    </w:p>
    <w:p w:rsidR="00A97BAF" w:rsidRDefault="00A97BAF" w:rsidP="00A97BAF">
      <w:pPr>
        <w:widowControl w:val="0"/>
        <w:autoSpaceDE w:val="0"/>
        <w:autoSpaceDN w:val="0"/>
        <w:adjustRightInd w:val="0"/>
        <w:spacing w:after="240" w:line="240" w:lineRule="auto"/>
        <w:contextualSpacing/>
        <w:jc w:val="center"/>
        <w:rPr>
          <w:rFonts w:cs="Times New Roman"/>
          <w:b/>
          <w:bCs/>
        </w:rPr>
      </w:pPr>
      <w:r>
        <w:rPr>
          <w:rFonts w:cs="Times New Roman"/>
          <w:b/>
          <w:bCs/>
        </w:rPr>
        <w:lastRenderedPageBreak/>
        <w:t>Table 2.7</w:t>
      </w:r>
    </w:p>
    <w:p w:rsidR="00F02794" w:rsidRDefault="00F02794" w:rsidP="00A97BAF">
      <w:pPr>
        <w:widowControl w:val="0"/>
        <w:autoSpaceDE w:val="0"/>
        <w:autoSpaceDN w:val="0"/>
        <w:adjustRightInd w:val="0"/>
        <w:spacing w:after="240" w:line="240" w:lineRule="auto"/>
        <w:contextualSpacing/>
        <w:jc w:val="center"/>
        <w:rPr>
          <w:rFonts w:cs="Times New Roman"/>
          <w:b/>
          <w:bCs/>
        </w:rPr>
      </w:pPr>
      <w:r w:rsidRPr="00F40195">
        <w:rPr>
          <w:rFonts w:cs="Times New Roman"/>
          <w:b/>
          <w:bCs/>
        </w:rPr>
        <w:t>State K-12 Expenditures as a Percent of Total State Expenditures</w:t>
      </w:r>
    </w:p>
    <w:p w:rsidR="00A97BAF" w:rsidRPr="00F40195" w:rsidRDefault="00A97BAF" w:rsidP="00A97BAF">
      <w:pPr>
        <w:widowControl w:val="0"/>
        <w:autoSpaceDE w:val="0"/>
        <w:autoSpaceDN w:val="0"/>
        <w:adjustRightInd w:val="0"/>
        <w:spacing w:after="240" w:line="240" w:lineRule="auto"/>
        <w:contextualSpacing/>
        <w:jc w:val="center"/>
        <w:rPr>
          <w:rFonts w:cs="Times New Roman"/>
          <w:b/>
          <w:bCs/>
        </w:rPr>
      </w:pPr>
    </w:p>
    <w:tbl>
      <w:tblPr>
        <w:tblStyle w:val="TableGrid"/>
        <w:tblW w:w="8910" w:type="dxa"/>
        <w:tblInd w:w="-72" w:type="dxa"/>
        <w:tblLayout w:type="fixed"/>
        <w:tblLook w:val="04A0" w:firstRow="1" w:lastRow="0" w:firstColumn="1" w:lastColumn="0" w:noHBand="0" w:noVBand="1"/>
      </w:tblPr>
      <w:tblGrid>
        <w:gridCol w:w="1843"/>
        <w:gridCol w:w="2567"/>
        <w:gridCol w:w="2340"/>
        <w:gridCol w:w="2160"/>
      </w:tblGrid>
      <w:tr w:rsidR="00F02794" w:rsidRPr="00F40195" w:rsidTr="002F335C">
        <w:tc>
          <w:tcPr>
            <w:tcW w:w="1843" w:type="dxa"/>
            <w:vMerge w:val="restart"/>
            <w:vAlign w:val="center"/>
          </w:tcPr>
          <w:p w:rsidR="00F02794" w:rsidRPr="00F40195" w:rsidRDefault="00F02794" w:rsidP="00F40195">
            <w:pPr>
              <w:widowControl w:val="0"/>
              <w:autoSpaceDE w:val="0"/>
              <w:autoSpaceDN w:val="0"/>
              <w:adjustRightInd w:val="0"/>
              <w:spacing w:after="240"/>
              <w:contextualSpacing/>
              <w:rPr>
                <w:b/>
                <w:bCs/>
              </w:rPr>
            </w:pPr>
          </w:p>
        </w:tc>
        <w:tc>
          <w:tcPr>
            <w:tcW w:w="4907" w:type="dxa"/>
            <w:gridSpan w:val="2"/>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 xml:space="preserve">K-12 Expenditures as a % of total state expenditures                                               </w:t>
            </w:r>
            <w:r w:rsidRPr="00F40195">
              <w:rPr>
                <w:bCs/>
                <w:i/>
              </w:rPr>
              <w:t>(National Rank)</w:t>
            </w:r>
          </w:p>
        </w:tc>
        <w:tc>
          <w:tcPr>
            <w:tcW w:w="2160" w:type="dxa"/>
            <w:vMerge w:val="restart"/>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 xml:space="preserve">Change in Expenditures           </w:t>
            </w:r>
            <w:r w:rsidRPr="00F40195">
              <w:rPr>
                <w:bCs/>
                <w:i/>
              </w:rPr>
              <w:t>(National Rank)</w:t>
            </w:r>
          </w:p>
        </w:tc>
      </w:tr>
      <w:tr w:rsidR="00F02794" w:rsidRPr="00F40195" w:rsidTr="002F335C">
        <w:trPr>
          <w:trHeight w:val="440"/>
        </w:trPr>
        <w:tc>
          <w:tcPr>
            <w:tcW w:w="1843" w:type="dxa"/>
            <w:vMerge/>
            <w:vAlign w:val="center"/>
          </w:tcPr>
          <w:p w:rsidR="00F02794" w:rsidRPr="00F40195" w:rsidRDefault="00F02794" w:rsidP="00F40195">
            <w:pPr>
              <w:widowControl w:val="0"/>
              <w:autoSpaceDE w:val="0"/>
              <w:autoSpaceDN w:val="0"/>
              <w:adjustRightInd w:val="0"/>
              <w:spacing w:after="240"/>
              <w:contextualSpacing/>
              <w:rPr>
                <w:b/>
                <w:bCs/>
              </w:rPr>
            </w:pPr>
          </w:p>
        </w:tc>
        <w:tc>
          <w:tcPr>
            <w:tcW w:w="256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2003-04</w:t>
            </w:r>
          </w:p>
        </w:tc>
        <w:tc>
          <w:tcPr>
            <w:tcW w:w="2340"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2012-2013</w:t>
            </w:r>
          </w:p>
        </w:tc>
        <w:tc>
          <w:tcPr>
            <w:tcW w:w="2160" w:type="dxa"/>
            <w:vMerge/>
            <w:vAlign w:val="center"/>
          </w:tcPr>
          <w:p w:rsidR="00F02794" w:rsidRPr="00F40195" w:rsidRDefault="00F02794" w:rsidP="00F40195">
            <w:pPr>
              <w:widowControl w:val="0"/>
              <w:autoSpaceDE w:val="0"/>
              <w:autoSpaceDN w:val="0"/>
              <w:adjustRightInd w:val="0"/>
              <w:spacing w:after="240"/>
              <w:contextualSpacing/>
              <w:jc w:val="center"/>
              <w:rPr>
                <w:bCs/>
              </w:rPr>
            </w:pPr>
          </w:p>
        </w:tc>
      </w:tr>
      <w:tr w:rsidR="00F02794" w:rsidRPr="00F40195" w:rsidTr="002F335C">
        <w:trPr>
          <w:trHeight w:val="432"/>
        </w:trPr>
        <w:tc>
          <w:tcPr>
            <w:tcW w:w="1843"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National</w:t>
            </w:r>
          </w:p>
        </w:tc>
        <w:tc>
          <w:tcPr>
            <w:tcW w:w="2567"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21.4%</w:t>
            </w:r>
          </w:p>
        </w:tc>
        <w:tc>
          <w:tcPr>
            <w:tcW w:w="2340"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w:t>
            </w:r>
          </w:p>
        </w:tc>
        <w:tc>
          <w:tcPr>
            <w:tcW w:w="2160"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-1.7%</w:t>
            </w:r>
          </w:p>
        </w:tc>
      </w:tr>
      <w:tr w:rsidR="008646B4" w:rsidRPr="00F40195" w:rsidTr="002F335C">
        <w:trPr>
          <w:trHeight w:val="432"/>
        </w:trPr>
        <w:tc>
          <w:tcPr>
            <w:tcW w:w="1843" w:type="dxa"/>
            <w:tcBorders>
              <w:bottom w:val="thinThickSmallGap" w:sz="24" w:space="0" w:color="auto"/>
            </w:tcBorders>
            <w:vAlign w:val="center"/>
          </w:tcPr>
          <w:p w:rsidR="008646B4" w:rsidRPr="00F40195" w:rsidRDefault="008646B4" w:rsidP="00F40195">
            <w:pPr>
              <w:widowControl w:val="0"/>
              <w:autoSpaceDE w:val="0"/>
              <w:autoSpaceDN w:val="0"/>
              <w:adjustRightInd w:val="0"/>
              <w:spacing w:after="240"/>
              <w:contextualSpacing/>
              <w:jc w:val="center"/>
            </w:pPr>
            <w:r>
              <w:t>Comparative States</w:t>
            </w:r>
          </w:p>
        </w:tc>
        <w:tc>
          <w:tcPr>
            <w:tcW w:w="2567" w:type="dxa"/>
            <w:tcBorders>
              <w:bottom w:val="thinThickSmallGap" w:sz="24" w:space="0" w:color="auto"/>
            </w:tcBorders>
            <w:vAlign w:val="center"/>
          </w:tcPr>
          <w:p w:rsidR="008646B4" w:rsidRPr="00F40195" w:rsidRDefault="008646B4" w:rsidP="00F40195">
            <w:pPr>
              <w:widowControl w:val="0"/>
              <w:autoSpaceDE w:val="0"/>
              <w:autoSpaceDN w:val="0"/>
              <w:adjustRightInd w:val="0"/>
              <w:spacing w:after="240"/>
              <w:contextualSpacing/>
              <w:jc w:val="center"/>
              <w:rPr>
                <w:bCs/>
              </w:rPr>
            </w:pPr>
            <w:r>
              <w:rPr>
                <w:bCs/>
              </w:rPr>
              <w:t>19.7%</w:t>
            </w:r>
          </w:p>
        </w:tc>
        <w:tc>
          <w:tcPr>
            <w:tcW w:w="2340" w:type="dxa"/>
            <w:tcBorders>
              <w:bottom w:val="thinThickSmallGap" w:sz="24" w:space="0" w:color="auto"/>
            </w:tcBorders>
            <w:vAlign w:val="center"/>
          </w:tcPr>
          <w:p w:rsidR="008646B4" w:rsidRPr="00F40195" w:rsidRDefault="008646B4" w:rsidP="00F40195">
            <w:pPr>
              <w:widowControl w:val="0"/>
              <w:autoSpaceDE w:val="0"/>
              <w:autoSpaceDN w:val="0"/>
              <w:adjustRightInd w:val="0"/>
              <w:spacing w:after="240"/>
              <w:contextualSpacing/>
              <w:jc w:val="center"/>
              <w:rPr>
                <w:bCs/>
              </w:rPr>
            </w:pPr>
            <w:r>
              <w:rPr>
                <w:bCs/>
              </w:rPr>
              <w:t>19.7%</w:t>
            </w:r>
          </w:p>
        </w:tc>
        <w:tc>
          <w:tcPr>
            <w:tcW w:w="2160" w:type="dxa"/>
            <w:tcBorders>
              <w:bottom w:val="thinThickSmallGap" w:sz="24" w:space="0" w:color="auto"/>
            </w:tcBorders>
            <w:vAlign w:val="center"/>
          </w:tcPr>
          <w:p w:rsidR="008646B4" w:rsidRPr="00F40195" w:rsidRDefault="008646B4" w:rsidP="00F40195">
            <w:pPr>
              <w:widowControl w:val="0"/>
              <w:autoSpaceDE w:val="0"/>
              <w:autoSpaceDN w:val="0"/>
              <w:adjustRightInd w:val="0"/>
              <w:spacing w:after="240"/>
              <w:contextualSpacing/>
              <w:jc w:val="center"/>
              <w:rPr>
                <w:b/>
                <w:bCs/>
              </w:rPr>
            </w:pPr>
            <w:r>
              <w:rPr>
                <w:b/>
                <w:bCs/>
              </w:rPr>
              <w:t>0.0%</w:t>
            </w:r>
          </w:p>
        </w:tc>
      </w:tr>
      <w:tr w:rsidR="00F02794" w:rsidRPr="00F40195" w:rsidTr="002F335C">
        <w:trPr>
          <w:trHeight w:val="432"/>
        </w:trPr>
        <w:tc>
          <w:tcPr>
            <w:tcW w:w="1843"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Kentucky</w:t>
            </w:r>
          </w:p>
        </w:tc>
        <w:tc>
          <w:tcPr>
            <w:tcW w:w="2567"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19.3% (29)</w:t>
            </w:r>
          </w:p>
        </w:tc>
        <w:tc>
          <w:tcPr>
            <w:tcW w:w="2340"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19.6% (22)</w:t>
            </w:r>
          </w:p>
        </w:tc>
        <w:tc>
          <w:tcPr>
            <w:tcW w:w="2160"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ind w:left="432" w:right="-1862"/>
              <w:contextualSpacing/>
              <w:jc w:val="right"/>
              <w:rPr>
                <w:bCs/>
              </w:rPr>
            </w:pPr>
            <w:r w:rsidRPr="00F40195">
              <w:rPr>
                <w:bCs/>
              </w:rPr>
              <w:t>0.3% (12)</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Alabama</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23.4% (21)</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21.4% (18)</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-2.0% (32)</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Arkansas</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16.3% (43)</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15.5% (36)</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-0.8% (23)</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Indiana</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22.9% (22)</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31.3% (</w:t>
            </w:r>
            <w:r w:rsidR="001D6AB2" w:rsidRPr="00F40195">
              <w:rPr>
                <w:bCs/>
              </w:rPr>
              <w:t>0</w:t>
            </w:r>
            <w:r w:rsidRPr="00F40195">
              <w:rPr>
                <w:bCs/>
              </w:rPr>
              <w:t>2)</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8.4% (</w:t>
            </w:r>
            <w:r w:rsidR="001D6AB2" w:rsidRPr="00F40195">
              <w:rPr>
                <w:bCs/>
              </w:rPr>
              <w:t>0</w:t>
            </w:r>
            <w:r w:rsidRPr="00F40195">
              <w:rPr>
                <w:bCs/>
              </w:rPr>
              <w:t>1)</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Missouri</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24.5% (14)</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22.8% (15)</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-1.7% (29)</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Ohio</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19.4% (27)</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19.8% (20)</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0.4% (</w:t>
            </w:r>
            <w:r w:rsidR="001D6AB2" w:rsidRPr="00F40195">
              <w:rPr>
                <w:bCs/>
              </w:rPr>
              <w:t>0</w:t>
            </w:r>
            <w:r w:rsidRPr="00F40195">
              <w:rPr>
                <w:bCs/>
              </w:rPr>
              <w:t>9)</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Tennessee</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16.3% (43)</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17.8% (29)</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1.5% (</w:t>
            </w:r>
            <w:r w:rsidR="001D6AB2" w:rsidRPr="00F40195">
              <w:rPr>
                <w:bCs/>
              </w:rPr>
              <w:t>0</w:t>
            </w:r>
            <w:r w:rsidRPr="00F40195">
              <w:rPr>
                <w:bCs/>
              </w:rPr>
              <w:t>6)</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West Virginia</w:t>
            </w:r>
          </w:p>
        </w:tc>
        <w:tc>
          <w:tcPr>
            <w:tcW w:w="2567"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11.8% (49)</w:t>
            </w:r>
          </w:p>
        </w:tc>
        <w:tc>
          <w:tcPr>
            <w:tcW w:w="234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9.5% (49)</w:t>
            </w:r>
          </w:p>
        </w:tc>
        <w:tc>
          <w:tcPr>
            <w:tcW w:w="2160" w:type="dxa"/>
            <w:vAlign w:val="center"/>
          </w:tcPr>
          <w:p w:rsidR="00F02794" w:rsidRPr="00F40195" w:rsidRDefault="00F02794" w:rsidP="00F40195">
            <w:pPr>
              <w:widowControl w:val="0"/>
              <w:autoSpaceDE w:val="0"/>
              <w:autoSpaceDN w:val="0"/>
              <w:adjustRightInd w:val="0"/>
              <w:spacing w:after="240"/>
              <w:contextualSpacing/>
              <w:jc w:val="right"/>
              <w:rPr>
                <w:bCs/>
              </w:rPr>
            </w:pPr>
            <w:r w:rsidRPr="00F40195">
              <w:rPr>
                <w:bCs/>
              </w:rPr>
              <w:t>-2.3% (34)</w:t>
            </w:r>
          </w:p>
        </w:tc>
      </w:tr>
    </w:tbl>
    <w:p w:rsidR="002F335C" w:rsidRPr="00090DBD" w:rsidRDefault="00F02794" w:rsidP="00090DBD">
      <w:pPr>
        <w:widowControl w:val="0"/>
        <w:autoSpaceDE w:val="0"/>
        <w:autoSpaceDN w:val="0"/>
        <w:adjustRightInd w:val="0"/>
        <w:spacing w:after="240" w:line="240" w:lineRule="auto"/>
        <w:rPr>
          <w:rFonts w:cs="Times New Roman"/>
          <w:bCs/>
        </w:rPr>
      </w:pPr>
      <w:r w:rsidRPr="00F40195">
        <w:rPr>
          <w:rFonts w:cs="Times New Roman"/>
          <w:bCs/>
        </w:rPr>
        <w:t>Source: National Assoc</w:t>
      </w:r>
      <w:bookmarkStart w:id="43" w:name="_Toc385250714"/>
      <w:r w:rsidR="00090DBD">
        <w:rPr>
          <w:rFonts w:cs="Times New Roman"/>
          <w:bCs/>
        </w:rPr>
        <w:t>iation of State Budget Officers</w:t>
      </w:r>
      <w:r w:rsidR="00E2519A">
        <w:rPr>
          <w:rFonts w:cs="Times New Roman"/>
          <w:bCs/>
        </w:rPr>
        <w:t xml:space="preserve"> (2014)</w:t>
      </w:r>
    </w:p>
    <w:p w:rsidR="00F02794" w:rsidRPr="00F40195" w:rsidRDefault="00F02794" w:rsidP="007162A8">
      <w:pPr>
        <w:pStyle w:val="Heading2"/>
      </w:pPr>
      <w:bookmarkStart w:id="44" w:name="_Toc395180656"/>
      <w:r w:rsidRPr="00F40195">
        <w:t>Factors That Drive Educational Expenditures</w:t>
      </w:r>
      <w:bookmarkEnd w:id="43"/>
      <w:bookmarkEnd w:id="44"/>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There are multiple factors that can influence the growth, or reduction, of education spending in a state. These can include: changes in the size of the state’s student population, increases in teacher/staff compensation, growth in the number of teachers/staff and increases in costs outside of the state/districts powers (i.e. fuel or energy costs). A number of these issues have impacted Kentucky over the past decade. </w:t>
      </w:r>
    </w:p>
    <w:p w:rsidR="00F02794" w:rsidRPr="00F40195" w:rsidRDefault="00F02794" w:rsidP="008D674A">
      <w:pPr>
        <w:pStyle w:val="Heading3"/>
      </w:pPr>
      <w:bookmarkStart w:id="45" w:name="_Toc385250715"/>
      <w:bookmarkStart w:id="46" w:name="_Toc395180657"/>
      <w:r w:rsidRPr="00F40195">
        <w:t>Student Population</w:t>
      </w:r>
      <w:bookmarkEnd w:id="45"/>
      <w:bookmarkEnd w:id="46"/>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Over the past decade Kentucky has experienced growth in its K-12 student population. Between 2003-2004 and 2012-13, Kentucky’s K-12 public </w:t>
      </w:r>
      <w:r w:rsidR="004E380C">
        <w:rPr>
          <w:rFonts w:cs="Times New Roman"/>
        </w:rPr>
        <w:t>school population increased 4.8 percent</w:t>
      </w:r>
      <w:r w:rsidRPr="00F40195">
        <w:rPr>
          <w:rFonts w:cs="Times New Roman"/>
        </w:rPr>
        <w:t xml:space="preserve"> from 631,852 to 662,345 (NEA, 2013</w:t>
      </w:r>
      <w:proofErr w:type="gramStart"/>
      <w:r w:rsidRPr="00F40195">
        <w:rPr>
          <w:rFonts w:cs="Times New Roman"/>
        </w:rPr>
        <w:t>)–</w:t>
      </w:r>
      <w:proofErr w:type="gramEnd"/>
      <w:r w:rsidRPr="00F40195">
        <w:rPr>
          <w:rFonts w:cs="Times New Roman"/>
        </w:rPr>
        <w:t xml:space="preserve"> an increase of 30,493 students. This was the 15</w:t>
      </w:r>
      <w:r w:rsidRPr="00F40195">
        <w:rPr>
          <w:rFonts w:cs="Times New Roman"/>
          <w:vertAlign w:val="superscript"/>
        </w:rPr>
        <w:t>th</w:t>
      </w:r>
      <w:r w:rsidRPr="00F40195">
        <w:rPr>
          <w:rFonts w:cs="Times New Roman"/>
        </w:rPr>
        <w:t xml:space="preserve"> largest percentage population increase in the nation. During this same period of time the national K-12 public school population increased by 2.6% and the student population in comparative states grew by 2.5</w:t>
      </w:r>
      <w:r w:rsidR="00371FF9" w:rsidRPr="00F40195">
        <w:rPr>
          <w:rFonts w:cs="Times New Roman"/>
        </w:rPr>
        <w:t xml:space="preserve"> percent</w:t>
      </w:r>
      <w:r w:rsidRPr="00F40195">
        <w:rPr>
          <w:rFonts w:cs="Times New Roman"/>
        </w:rPr>
        <w:t>. State enrollment data can be found on Table 2.8.</w:t>
      </w:r>
    </w:p>
    <w:p w:rsidR="00F02794" w:rsidRDefault="00F02794" w:rsidP="00A97BAF">
      <w:pPr>
        <w:widowControl w:val="0"/>
        <w:autoSpaceDE w:val="0"/>
        <w:autoSpaceDN w:val="0"/>
        <w:adjustRightInd w:val="0"/>
        <w:spacing w:line="240" w:lineRule="auto"/>
        <w:rPr>
          <w:rFonts w:cs="Times New Roman"/>
        </w:rPr>
      </w:pPr>
      <w:r w:rsidRPr="00F40195">
        <w:rPr>
          <w:rFonts w:cs="Times New Roman"/>
        </w:rPr>
        <w:t xml:space="preserve">While the state’s student population was increasing, the number of school districts </w:t>
      </w:r>
      <w:r w:rsidR="00CB0504" w:rsidRPr="00F40195">
        <w:rPr>
          <w:rFonts w:cs="Times New Roman"/>
        </w:rPr>
        <w:t>re</w:t>
      </w:r>
      <w:r w:rsidR="00CB0504">
        <w:rPr>
          <w:rFonts w:cs="Times New Roman"/>
        </w:rPr>
        <w:t>maine</w:t>
      </w:r>
      <w:r w:rsidR="00CB0504" w:rsidRPr="00F40195">
        <w:rPr>
          <w:rFonts w:cs="Times New Roman"/>
        </w:rPr>
        <w:t xml:space="preserve">d </w:t>
      </w:r>
      <w:r w:rsidRPr="00F40195">
        <w:rPr>
          <w:rFonts w:cs="Times New Roman"/>
        </w:rPr>
        <w:t>essentially the same. As a result, Kentucky’s average district size i</w:t>
      </w:r>
      <w:r w:rsidR="004E380C">
        <w:rPr>
          <w:rFonts w:cs="Times New Roman"/>
        </w:rPr>
        <w:t xml:space="preserve">ncreased by 217 students or </w:t>
      </w:r>
      <w:r w:rsidR="004E380C">
        <w:rPr>
          <w:rFonts w:cs="Times New Roman"/>
        </w:rPr>
        <w:lastRenderedPageBreak/>
        <w:t>6.0 percent</w:t>
      </w:r>
      <w:r w:rsidRPr="00F40195">
        <w:rPr>
          <w:rFonts w:cs="Times New Roman"/>
        </w:rPr>
        <w:t xml:space="preserve"> between 2003-04 and 2012-13. For the 2012-13 fiscal </w:t>
      </w:r>
      <w:proofErr w:type="gramStart"/>
      <w:r w:rsidRPr="00F40195">
        <w:rPr>
          <w:rFonts w:cs="Times New Roman"/>
        </w:rPr>
        <w:t>year</w:t>
      </w:r>
      <w:proofErr w:type="gramEnd"/>
      <w:r w:rsidRPr="00F40195">
        <w:rPr>
          <w:rFonts w:cs="Times New Roman"/>
        </w:rPr>
        <w:t xml:space="preserve"> Kentucky had the 17</w:t>
      </w:r>
      <w:r w:rsidRPr="00F40195">
        <w:rPr>
          <w:rFonts w:cs="Times New Roman"/>
          <w:vertAlign w:val="superscript"/>
        </w:rPr>
        <w:t>th</w:t>
      </w:r>
      <w:r w:rsidRPr="00F40195">
        <w:rPr>
          <w:rFonts w:cs="Times New Roman"/>
        </w:rPr>
        <w:t xml:space="preserve"> largest average district size in the country at 3,807 students per district. Data on comparable states and the </w:t>
      </w:r>
      <w:r w:rsidR="00CB0504">
        <w:rPr>
          <w:rFonts w:cs="Times New Roman"/>
        </w:rPr>
        <w:t>n</w:t>
      </w:r>
      <w:r w:rsidRPr="00F40195">
        <w:rPr>
          <w:rFonts w:cs="Times New Roman"/>
        </w:rPr>
        <w:t xml:space="preserve">ational </w:t>
      </w:r>
      <w:r w:rsidR="00CB0504">
        <w:rPr>
          <w:rFonts w:cs="Times New Roman"/>
        </w:rPr>
        <w:t>a</w:t>
      </w:r>
      <w:r w:rsidRPr="00F40195">
        <w:rPr>
          <w:rFonts w:cs="Times New Roman"/>
        </w:rPr>
        <w:t>verage school district size is displayed in Table 2.9.</w:t>
      </w:r>
    </w:p>
    <w:p w:rsidR="00A97BAF" w:rsidRPr="00F40195" w:rsidRDefault="00A97BAF" w:rsidP="00A97BAF">
      <w:pPr>
        <w:widowControl w:val="0"/>
        <w:autoSpaceDE w:val="0"/>
        <w:autoSpaceDN w:val="0"/>
        <w:adjustRightInd w:val="0"/>
        <w:spacing w:line="240" w:lineRule="auto"/>
        <w:rPr>
          <w:rFonts w:cs="Times New Roman"/>
        </w:rPr>
      </w:pPr>
    </w:p>
    <w:p w:rsidR="00A97BAF" w:rsidRDefault="00A97BAF" w:rsidP="00A97BAF">
      <w:pPr>
        <w:widowControl w:val="0"/>
        <w:autoSpaceDE w:val="0"/>
        <w:autoSpaceDN w:val="0"/>
        <w:adjustRightInd w:val="0"/>
        <w:spacing w:line="240" w:lineRule="auto"/>
        <w:jc w:val="center"/>
        <w:rPr>
          <w:rFonts w:cs="Times New Roman"/>
          <w:b/>
          <w:bCs/>
        </w:rPr>
      </w:pPr>
      <w:r>
        <w:rPr>
          <w:rFonts w:cs="Times New Roman"/>
          <w:b/>
          <w:bCs/>
        </w:rPr>
        <w:t>Table 2.8</w:t>
      </w:r>
    </w:p>
    <w:p w:rsidR="00F02794" w:rsidRDefault="00F02794" w:rsidP="00A97BAF">
      <w:pPr>
        <w:widowControl w:val="0"/>
        <w:autoSpaceDE w:val="0"/>
        <w:autoSpaceDN w:val="0"/>
        <w:adjustRightInd w:val="0"/>
        <w:spacing w:line="240" w:lineRule="auto"/>
        <w:jc w:val="center"/>
        <w:rPr>
          <w:rFonts w:cs="Times New Roman"/>
          <w:b/>
          <w:bCs/>
        </w:rPr>
      </w:pPr>
      <w:r w:rsidRPr="00F40195">
        <w:rPr>
          <w:rFonts w:cs="Times New Roman"/>
          <w:b/>
          <w:bCs/>
        </w:rPr>
        <w:t>Student Population Changes</w:t>
      </w:r>
    </w:p>
    <w:p w:rsidR="00A97BAF" w:rsidRPr="00F40195" w:rsidRDefault="00A97BAF" w:rsidP="00A97BAF">
      <w:pPr>
        <w:widowControl w:val="0"/>
        <w:autoSpaceDE w:val="0"/>
        <w:autoSpaceDN w:val="0"/>
        <w:adjustRightInd w:val="0"/>
        <w:spacing w:line="240" w:lineRule="auto"/>
        <w:rPr>
          <w:rFonts w:cs="Times New Roman"/>
        </w:rPr>
      </w:pPr>
    </w:p>
    <w:tbl>
      <w:tblPr>
        <w:tblStyle w:val="TableGrid"/>
        <w:tblW w:w="9198" w:type="dxa"/>
        <w:tblLook w:val="04A0" w:firstRow="1" w:lastRow="0" w:firstColumn="1" w:lastColumn="0" w:noHBand="0" w:noVBand="1"/>
      </w:tblPr>
      <w:tblGrid>
        <w:gridCol w:w="2268"/>
        <w:gridCol w:w="1710"/>
        <w:gridCol w:w="1674"/>
        <w:gridCol w:w="1656"/>
        <w:gridCol w:w="1890"/>
      </w:tblGrid>
      <w:tr w:rsidR="00F02794" w:rsidRPr="00F40195" w:rsidTr="002F335C">
        <w:tc>
          <w:tcPr>
            <w:tcW w:w="2268" w:type="dxa"/>
            <w:vMerge w:val="restart"/>
          </w:tcPr>
          <w:p w:rsidR="00F02794" w:rsidRPr="00F40195" w:rsidRDefault="00F02794" w:rsidP="00F40195">
            <w:pPr>
              <w:widowControl w:val="0"/>
              <w:autoSpaceDE w:val="0"/>
              <w:autoSpaceDN w:val="0"/>
              <w:adjustRightInd w:val="0"/>
              <w:spacing w:after="240"/>
              <w:contextualSpacing/>
              <w:rPr>
                <w:b/>
                <w:bCs/>
              </w:rPr>
            </w:pPr>
          </w:p>
        </w:tc>
        <w:tc>
          <w:tcPr>
            <w:tcW w:w="3384" w:type="dxa"/>
            <w:gridSpan w:val="2"/>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Total Student Enrollment</w:t>
            </w:r>
          </w:p>
        </w:tc>
        <w:tc>
          <w:tcPr>
            <w:tcW w:w="3546" w:type="dxa"/>
            <w:gridSpan w:val="2"/>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 xml:space="preserve">Change in Enrollment          </w:t>
            </w:r>
            <w:r w:rsidRPr="00F40195">
              <w:rPr>
                <w:bCs/>
                <w:i/>
              </w:rPr>
              <w:t>(National Rank)</w:t>
            </w:r>
          </w:p>
        </w:tc>
      </w:tr>
      <w:tr w:rsidR="00F02794" w:rsidRPr="00F40195" w:rsidTr="002F335C">
        <w:tc>
          <w:tcPr>
            <w:tcW w:w="2268" w:type="dxa"/>
            <w:vMerge/>
          </w:tcPr>
          <w:p w:rsidR="00F02794" w:rsidRPr="00F40195" w:rsidRDefault="00F02794" w:rsidP="00F40195">
            <w:pPr>
              <w:widowControl w:val="0"/>
              <w:autoSpaceDE w:val="0"/>
              <w:autoSpaceDN w:val="0"/>
              <w:adjustRightInd w:val="0"/>
              <w:spacing w:after="240"/>
              <w:contextualSpacing/>
              <w:rPr>
                <w:b/>
                <w:bCs/>
              </w:rPr>
            </w:pPr>
          </w:p>
        </w:tc>
        <w:tc>
          <w:tcPr>
            <w:tcW w:w="1710" w:type="dxa"/>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2003-2004</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2012-2013</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Students</w:t>
            </w:r>
          </w:p>
        </w:tc>
        <w:tc>
          <w:tcPr>
            <w:tcW w:w="1890" w:type="dxa"/>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Percentages</w:t>
            </w:r>
          </w:p>
        </w:tc>
      </w:tr>
      <w:tr w:rsidR="00F02794" w:rsidRPr="00F40195" w:rsidTr="002F335C">
        <w:tc>
          <w:tcPr>
            <w:tcW w:w="2268" w:type="dxa"/>
          </w:tcPr>
          <w:p w:rsidR="00F02794" w:rsidRPr="00F40195" w:rsidRDefault="00F02794" w:rsidP="00F40195">
            <w:pPr>
              <w:widowControl w:val="0"/>
              <w:autoSpaceDE w:val="0"/>
              <w:autoSpaceDN w:val="0"/>
              <w:adjustRightInd w:val="0"/>
              <w:spacing w:after="240"/>
              <w:contextualSpacing/>
              <w:jc w:val="center"/>
              <w:rPr>
                <w:b/>
                <w:bCs/>
              </w:rPr>
            </w:pPr>
            <w:r w:rsidRPr="00F40195">
              <w:t>National</w:t>
            </w:r>
          </w:p>
        </w:tc>
        <w:tc>
          <w:tcPr>
            <w:tcW w:w="1710" w:type="dxa"/>
          </w:tcPr>
          <w:p w:rsidR="00F02794" w:rsidRPr="00F40195" w:rsidRDefault="00F02794" w:rsidP="00F40195">
            <w:pPr>
              <w:widowControl w:val="0"/>
              <w:autoSpaceDE w:val="0"/>
              <w:autoSpaceDN w:val="0"/>
              <w:adjustRightInd w:val="0"/>
              <w:spacing w:after="240"/>
              <w:contextualSpacing/>
              <w:jc w:val="center"/>
              <w:rPr>
                <w:bCs/>
              </w:rPr>
            </w:pPr>
            <w:r w:rsidRPr="00F40195">
              <w:rPr>
                <w:bCs/>
              </w:rPr>
              <w:t>48,067,419</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Cs/>
              </w:rPr>
            </w:pPr>
            <w:r w:rsidRPr="00F40195">
              <w:rPr>
                <w:bCs/>
              </w:rPr>
              <w:t>49,326,517</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Cs/>
              </w:rPr>
            </w:pPr>
            <w:r w:rsidRPr="00F40195">
              <w:rPr>
                <w:bCs/>
              </w:rPr>
              <w:t>1,259,098</w:t>
            </w:r>
          </w:p>
        </w:tc>
        <w:tc>
          <w:tcPr>
            <w:tcW w:w="1890" w:type="dxa"/>
          </w:tcPr>
          <w:p w:rsidR="00F02794" w:rsidRPr="00F40195" w:rsidRDefault="00F02794" w:rsidP="00F40195">
            <w:pPr>
              <w:widowControl w:val="0"/>
              <w:autoSpaceDE w:val="0"/>
              <w:autoSpaceDN w:val="0"/>
              <w:adjustRightInd w:val="0"/>
              <w:spacing w:after="240"/>
              <w:contextualSpacing/>
              <w:jc w:val="center"/>
              <w:rPr>
                <w:bCs/>
              </w:rPr>
            </w:pPr>
            <w:r w:rsidRPr="00F40195">
              <w:rPr>
                <w:bCs/>
              </w:rPr>
              <w:t>2.6%</w:t>
            </w:r>
          </w:p>
        </w:tc>
      </w:tr>
      <w:tr w:rsidR="00F02794" w:rsidRPr="00F40195" w:rsidTr="002F335C">
        <w:tc>
          <w:tcPr>
            <w:tcW w:w="2268"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Comparative States</w:t>
            </w:r>
          </w:p>
        </w:tc>
        <w:tc>
          <w:tcPr>
            <w:tcW w:w="1710"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Cs/>
              </w:rPr>
            </w:pPr>
            <w:r w:rsidRPr="00F40195">
              <w:rPr>
                <w:bCs/>
              </w:rPr>
              <w:t>6,130,624</w:t>
            </w:r>
          </w:p>
        </w:tc>
        <w:tc>
          <w:tcPr>
            <w:tcW w:w="1674" w:type="dxa"/>
            <w:tcBorders>
              <w:bottom w:val="thinThickSmallGap" w:sz="24" w:space="0" w:color="auto"/>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Cs/>
              </w:rPr>
            </w:pPr>
            <w:r w:rsidRPr="00F40195">
              <w:rPr>
                <w:bCs/>
              </w:rPr>
              <w:t>6,286,774</w:t>
            </w:r>
          </w:p>
        </w:tc>
        <w:tc>
          <w:tcPr>
            <w:tcW w:w="1656" w:type="dxa"/>
            <w:tcBorders>
              <w:left w:val="thinThickSmallGap" w:sz="24" w:space="0" w:color="auto"/>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Cs/>
              </w:rPr>
            </w:pPr>
            <w:r w:rsidRPr="00F40195">
              <w:rPr>
                <w:bCs/>
              </w:rPr>
              <w:t>156,150</w:t>
            </w:r>
          </w:p>
        </w:tc>
        <w:tc>
          <w:tcPr>
            <w:tcW w:w="1890"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rPr>
                <w:bCs/>
              </w:rPr>
            </w:pPr>
            <w:r w:rsidRPr="00F40195">
              <w:rPr>
                <w:bCs/>
              </w:rPr>
              <w:t>2.5%</w:t>
            </w:r>
          </w:p>
        </w:tc>
      </w:tr>
      <w:tr w:rsidR="00F02794" w:rsidRPr="00F40195" w:rsidTr="002F335C">
        <w:tc>
          <w:tcPr>
            <w:tcW w:w="2268"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Kentucky</w:t>
            </w:r>
          </w:p>
        </w:tc>
        <w:tc>
          <w:tcPr>
            <w:tcW w:w="1710" w:type="dxa"/>
            <w:tcBorders>
              <w:top w:val="thinThickSmallGap" w:sz="24" w:space="0" w:color="auto"/>
            </w:tcBorders>
            <w:shd w:val="clear" w:color="auto" w:fill="BFBFBF" w:themeFill="background1" w:themeFillShade="BF"/>
          </w:tcPr>
          <w:p w:rsidR="00F02794" w:rsidRPr="00F40195" w:rsidRDefault="00F02794" w:rsidP="00F40195">
            <w:pPr>
              <w:widowControl w:val="0"/>
              <w:autoSpaceDE w:val="0"/>
              <w:autoSpaceDN w:val="0"/>
              <w:adjustRightInd w:val="0"/>
              <w:spacing w:after="240"/>
              <w:contextualSpacing/>
              <w:jc w:val="right"/>
              <w:rPr>
                <w:bCs/>
              </w:rPr>
            </w:pPr>
            <w:r w:rsidRPr="00F40195">
              <w:rPr>
                <w:bCs/>
              </w:rPr>
              <w:t>631,852</w:t>
            </w:r>
          </w:p>
        </w:tc>
        <w:tc>
          <w:tcPr>
            <w:tcW w:w="1674" w:type="dxa"/>
            <w:tcBorders>
              <w:top w:val="thinThickSmallGap" w:sz="24" w:space="0" w:color="auto"/>
              <w:right w:val="thinThickSmallGap" w:sz="24" w:space="0" w:color="auto"/>
            </w:tcBorders>
            <w:shd w:val="clear" w:color="auto" w:fill="BFBFBF" w:themeFill="background1" w:themeFillShade="BF"/>
          </w:tcPr>
          <w:p w:rsidR="00F02794" w:rsidRPr="00F40195" w:rsidRDefault="00F02794" w:rsidP="00F40195">
            <w:pPr>
              <w:widowControl w:val="0"/>
              <w:autoSpaceDE w:val="0"/>
              <w:autoSpaceDN w:val="0"/>
              <w:adjustRightInd w:val="0"/>
              <w:spacing w:after="240"/>
              <w:contextualSpacing/>
              <w:jc w:val="right"/>
              <w:rPr>
                <w:bCs/>
              </w:rPr>
            </w:pPr>
            <w:r w:rsidRPr="00F40195">
              <w:rPr>
                <w:bCs/>
              </w:rPr>
              <w:t>662,345</w:t>
            </w:r>
          </w:p>
        </w:tc>
        <w:tc>
          <w:tcPr>
            <w:tcW w:w="1656" w:type="dxa"/>
            <w:tcBorders>
              <w:top w:val="thinThickSmallGap" w:sz="24" w:space="0" w:color="auto"/>
              <w:left w:val="thinThickSmallGap" w:sz="24" w:space="0" w:color="auto"/>
            </w:tcBorders>
            <w:shd w:val="clear" w:color="auto" w:fill="BFBFBF" w:themeFill="background1" w:themeFillShade="BF"/>
          </w:tcPr>
          <w:p w:rsidR="00F02794" w:rsidRPr="00F40195" w:rsidRDefault="00F02794" w:rsidP="00F40195">
            <w:pPr>
              <w:widowControl w:val="0"/>
              <w:autoSpaceDE w:val="0"/>
              <w:autoSpaceDN w:val="0"/>
              <w:adjustRightInd w:val="0"/>
              <w:spacing w:after="240"/>
              <w:contextualSpacing/>
              <w:jc w:val="right"/>
              <w:rPr>
                <w:bCs/>
              </w:rPr>
            </w:pPr>
            <w:r w:rsidRPr="00F40195">
              <w:rPr>
                <w:bCs/>
              </w:rPr>
              <w:t>30,493 (15)</w:t>
            </w:r>
          </w:p>
        </w:tc>
        <w:tc>
          <w:tcPr>
            <w:tcW w:w="1890" w:type="dxa"/>
            <w:tcBorders>
              <w:top w:val="thinThickSmallGap" w:sz="24" w:space="0" w:color="auto"/>
            </w:tcBorders>
            <w:shd w:val="clear" w:color="auto" w:fill="BFBFBF" w:themeFill="background1" w:themeFillShade="BF"/>
          </w:tcPr>
          <w:p w:rsidR="00F02794" w:rsidRPr="00F40195" w:rsidRDefault="00F02794" w:rsidP="00F40195">
            <w:pPr>
              <w:widowControl w:val="0"/>
              <w:autoSpaceDE w:val="0"/>
              <w:autoSpaceDN w:val="0"/>
              <w:adjustRightInd w:val="0"/>
              <w:spacing w:after="240"/>
              <w:contextualSpacing/>
              <w:jc w:val="right"/>
              <w:rPr>
                <w:bCs/>
              </w:rPr>
            </w:pPr>
            <w:r w:rsidRPr="00F40195">
              <w:rPr>
                <w:bCs/>
              </w:rPr>
              <w:t>4.8% (15)</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Alabama</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729,339</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735,605</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6,266 (27)</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0.9% (28)</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Arkansas</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452,036</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472,733</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20,697 (19)</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4.6% (16)</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Indiana</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1,010,492</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1,042,018</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31,526 (14)</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3.1% (21)</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Missouri</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892,872</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906,811</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13,939 (24)</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1.6% (25)</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Ohio</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1,845,428</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1,867,582</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22,154 (18)</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1.2% (26)</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t>Tennessee</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919,896</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979,806</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59,910 (8)</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6.5% (13)</w:t>
            </w:r>
          </w:p>
        </w:tc>
      </w:tr>
      <w:tr w:rsidR="00F02794" w:rsidRPr="00F40195" w:rsidTr="002F335C">
        <w:tc>
          <w:tcPr>
            <w:tcW w:w="2268"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171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280,561</w:t>
            </w:r>
          </w:p>
        </w:tc>
        <w:tc>
          <w:tcPr>
            <w:tcW w:w="1674"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282,219</w:t>
            </w:r>
          </w:p>
        </w:tc>
        <w:tc>
          <w:tcPr>
            <w:tcW w:w="1656"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right"/>
              <w:rPr>
                <w:bCs/>
              </w:rPr>
            </w:pPr>
            <w:r w:rsidRPr="00F40195">
              <w:rPr>
                <w:bCs/>
              </w:rPr>
              <w:t>1,658 (30)</w:t>
            </w:r>
          </w:p>
        </w:tc>
        <w:tc>
          <w:tcPr>
            <w:tcW w:w="1890" w:type="dxa"/>
          </w:tcPr>
          <w:p w:rsidR="00F02794" w:rsidRPr="00F40195" w:rsidRDefault="00F02794" w:rsidP="00F40195">
            <w:pPr>
              <w:widowControl w:val="0"/>
              <w:autoSpaceDE w:val="0"/>
              <w:autoSpaceDN w:val="0"/>
              <w:adjustRightInd w:val="0"/>
              <w:spacing w:after="240"/>
              <w:contextualSpacing/>
              <w:jc w:val="right"/>
              <w:rPr>
                <w:bCs/>
              </w:rPr>
            </w:pPr>
            <w:r w:rsidRPr="00F40195">
              <w:rPr>
                <w:bCs/>
              </w:rPr>
              <w:t>0.6% (29)</w:t>
            </w:r>
          </w:p>
        </w:tc>
      </w:tr>
    </w:tbl>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Source: National Education Association</w:t>
      </w:r>
      <w:r w:rsidR="004D2D27">
        <w:rPr>
          <w:rFonts w:cs="Times New Roman"/>
        </w:rPr>
        <w:t xml:space="preserve"> (2013)</w:t>
      </w:r>
    </w:p>
    <w:p w:rsidR="00F02794" w:rsidRPr="00F40195" w:rsidRDefault="00F02794" w:rsidP="00F40195">
      <w:pPr>
        <w:spacing w:line="240" w:lineRule="auto"/>
        <w:rPr>
          <w:rFonts w:cs="Times New Roman"/>
          <w:b/>
          <w:bCs/>
        </w:rPr>
      </w:pPr>
      <w:r w:rsidRPr="00F40195">
        <w:rPr>
          <w:rFonts w:cs="Times New Roman"/>
          <w:b/>
          <w:bCs/>
        </w:rPr>
        <w:br w:type="page"/>
      </w:r>
    </w:p>
    <w:p w:rsidR="00A97BAF" w:rsidRDefault="00A97BAF" w:rsidP="00CD7BC3">
      <w:pPr>
        <w:widowControl w:val="0"/>
        <w:autoSpaceDE w:val="0"/>
        <w:autoSpaceDN w:val="0"/>
        <w:adjustRightInd w:val="0"/>
        <w:spacing w:line="240" w:lineRule="auto"/>
        <w:jc w:val="center"/>
        <w:rPr>
          <w:rFonts w:cs="Times New Roman"/>
          <w:b/>
          <w:bCs/>
        </w:rPr>
      </w:pPr>
      <w:r>
        <w:rPr>
          <w:rFonts w:cs="Times New Roman"/>
          <w:b/>
          <w:bCs/>
        </w:rPr>
        <w:lastRenderedPageBreak/>
        <w:t>Table 2.9</w:t>
      </w:r>
    </w:p>
    <w:p w:rsidR="00F02794" w:rsidRDefault="00F02794" w:rsidP="00CD7BC3">
      <w:pPr>
        <w:widowControl w:val="0"/>
        <w:autoSpaceDE w:val="0"/>
        <w:autoSpaceDN w:val="0"/>
        <w:adjustRightInd w:val="0"/>
        <w:spacing w:line="240" w:lineRule="auto"/>
        <w:jc w:val="center"/>
        <w:rPr>
          <w:rFonts w:cs="Times New Roman"/>
          <w:b/>
          <w:bCs/>
        </w:rPr>
      </w:pPr>
      <w:r w:rsidRPr="00F40195">
        <w:rPr>
          <w:rFonts w:cs="Times New Roman"/>
          <w:b/>
          <w:bCs/>
        </w:rPr>
        <w:t>Average School District Sizes</w:t>
      </w:r>
    </w:p>
    <w:p w:rsidR="00A97BAF" w:rsidRPr="00F40195" w:rsidRDefault="00A97BAF" w:rsidP="00A97BAF">
      <w:pPr>
        <w:widowControl w:val="0"/>
        <w:autoSpaceDE w:val="0"/>
        <w:autoSpaceDN w:val="0"/>
        <w:adjustRightInd w:val="0"/>
        <w:spacing w:line="240" w:lineRule="auto"/>
        <w:rPr>
          <w:rFonts w:cs="Times New Roman"/>
        </w:rPr>
      </w:pPr>
    </w:p>
    <w:tbl>
      <w:tblPr>
        <w:tblStyle w:val="TableGrid"/>
        <w:tblW w:w="0" w:type="auto"/>
        <w:tblLook w:val="04A0" w:firstRow="1" w:lastRow="0" w:firstColumn="1" w:lastColumn="0" w:noHBand="0" w:noVBand="1"/>
      </w:tblPr>
      <w:tblGrid>
        <w:gridCol w:w="2952"/>
        <w:gridCol w:w="2952"/>
        <w:gridCol w:w="2952"/>
      </w:tblGrid>
      <w:tr w:rsidR="00F02794" w:rsidRPr="00F40195" w:rsidTr="002F335C">
        <w:trPr>
          <w:trHeight w:val="504"/>
        </w:trPr>
        <w:tc>
          <w:tcPr>
            <w:tcW w:w="2952" w:type="dxa"/>
            <w:vMerge w:val="restart"/>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rPr>
                <w:i/>
                <w:iCs/>
              </w:rPr>
            </w:pPr>
          </w:p>
        </w:tc>
        <w:tc>
          <w:tcPr>
            <w:tcW w:w="5904" w:type="dxa"/>
            <w:gridSpan w:val="2"/>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rPr>
                <w:iCs/>
              </w:rPr>
              <w:t>Average District Size</w:t>
            </w:r>
            <w:r w:rsidRPr="00F40195">
              <w:rPr>
                <w:i/>
                <w:iCs/>
              </w:rPr>
              <w:t xml:space="preserve">                                                         </w:t>
            </w:r>
            <w:r w:rsidRPr="00F40195">
              <w:rPr>
                <w:iCs/>
              </w:rPr>
              <w:t>(National Rank)</w:t>
            </w:r>
          </w:p>
        </w:tc>
      </w:tr>
      <w:tr w:rsidR="00F02794" w:rsidRPr="00F40195" w:rsidTr="002F335C">
        <w:trPr>
          <w:trHeight w:val="504"/>
        </w:trPr>
        <w:tc>
          <w:tcPr>
            <w:tcW w:w="2952" w:type="dxa"/>
            <w:vMerge/>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rPr>
                <w:i/>
                <w:iCs/>
              </w:rPr>
            </w:pP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rPr>
                <w:i/>
                <w:iCs/>
              </w:rPr>
              <w:t>2003-04</w:t>
            </w:r>
          </w:p>
        </w:tc>
        <w:tc>
          <w:tcPr>
            <w:tcW w:w="2952" w:type="dxa"/>
            <w:vAlign w:val="center"/>
          </w:tcPr>
          <w:p w:rsidR="00F02794" w:rsidRPr="00F40195" w:rsidRDefault="00F02794" w:rsidP="009118E4">
            <w:pPr>
              <w:widowControl w:val="0"/>
              <w:autoSpaceDE w:val="0"/>
              <w:autoSpaceDN w:val="0"/>
              <w:adjustRightInd w:val="0"/>
              <w:contextualSpacing/>
              <w:jc w:val="center"/>
              <w:rPr>
                <w:i/>
                <w:iCs/>
              </w:rPr>
            </w:pPr>
            <w:r w:rsidRPr="00F40195">
              <w:rPr>
                <w:i/>
                <w:iCs/>
              </w:rPr>
              <w:t>2012-13</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National</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Cs/>
              </w:rPr>
            </w:pPr>
            <w:r w:rsidRPr="00F40195">
              <w:rPr>
                <w:iCs/>
              </w:rPr>
              <w:t>3,129</w:t>
            </w:r>
          </w:p>
        </w:tc>
        <w:tc>
          <w:tcPr>
            <w:tcW w:w="2952" w:type="dxa"/>
            <w:vAlign w:val="center"/>
          </w:tcPr>
          <w:p w:rsidR="00F02794" w:rsidRPr="00F40195" w:rsidRDefault="00F02794" w:rsidP="009118E4">
            <w:pPr>
              <w:widowControl w:val="0"/>
              <w:autoSpaceDE w:val="0"/>
              <w:autoSpaceDN w:val="0"/>
              <w:adjustRightInd w:val="0"/>
              <w:contextualSpacing/>
              <w:jc w:val="center"/>
              <w:rPr>
                <w:iCs/>
              </w:rPr>
            </w:pPr>
            <w:r w:rsidRPr="00F40195">
              <w:rPr>
                <w:iCs/>
              </w:rPr>
              <w:t>3,177</w:t>
            </w:r>
          </w:p>
        </w:tc>
      </w:tr>
      <w:tr w:rsidR="00F02794" w:rsidRPr="00F40195" w:rsidTr="002F335C">
        <w:trPr>
          <w:trHeight w:val="504"/>
        </w:trPr>
        <w:tc>
          <w:tcPr>
            <w:tcW w:w="2952" w:type="dxa"/>
            <w:tcBorders>
              <w:bottom w:val="thinThickSmallGap" w:sz="24" w:space="0" w:color="auto"/>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Comparative States</w:t>
            </w:r>
          </w:p>
        </w:tc>
        <w:tc>
          <w:tcPr>
            <w:tcW w:w="2952" w:type="dxa"/>
            <w:tcBorders>
              <w:left w:val="thinThickSmallGap" w:sz="24" w:space="0" w:color="auto"/>
              <w:bottom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Cs/>
              </w:rPr>
            </w:pPr>
            <w:r w:rsidRPr="00F40195">
              <w:rPr>
                <w:iCs/>
              </w:rPr>
              <w:t>2,972</w:t>
            </w:r>
          </w:p>
        </w:tc>
        <w:tc>
          <w:tcPr>
            <w:tcW w:w="2952" w:type="dxa"/>
            <w:tcBorders>
              <w:bottom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Cs/>
              </w:rPr>
            </w:pPr>
            <w:r w:rsidRPr="00F40195">
              <w:rPr>
                <w:iCs/>
              </w:rPr>
              <w:t>3,293</w:t>
            </w:r>
          </w:p>
        </w:tc>
      </w:tr>
      <w:tr w:rsidR="00F02794" w:rsidRPr="00F40195" w:rsidTr="002F335C">
        <w:trPr>
          <w:trHeight w:val="504"/>
        </w:trPr>
        <w:tc>
          <w:tcPr>
            <w:tcW w:w="2952"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9118E4">
            <w:pPr>
              <w:widowControl w:val="0"/>
              <w:autoSpaceDE w:val="0"/>
              <w:autoSpaceDN w:val="0"/>
              <w:adjustRightInd w:val="0"/>
              <w:contextualSpacing/>
              <w:jc w:val="center"/>
              <w:rPr>
                <w:i/>
                <w:iCs/>
              </w:rPr>
            </w:pPr>
            <w:r w:rsidRPr="00F40195">
              <w:t>Kentucky</w:t>
            </w:r>
          </w:p>
        </w:tc>
        <w:tc>
          <w:tcPr>
            <w:tcW w:w="2952"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9118E4">
            <w:pPr>
              <w:widowControl w:val="0"/>
              <w:autoSpaceDE w:val="0"/>
              <w:autoSpaceDN w:val="0"/>
              <w:adjustRightInd w:val="0"/>
              <w:contextualSpacing/>
              <w:jc w:val="right"/>
              <w:rPr>
                <w:iCs/>
              </w:rPr>
            </w:pPr>
            <w:r w:rsidRPr="00F40195">
              <w:rPr>
                <w:iCs/>
              </w:rPr>
              <w:t>3,590 (21)</w:t>
            </w:r>
          </w:p>
        </w:tc>
        <w:tc>
          <w:tcPr>
            <w:tcW w:w="2952" w:type="dxa"/>
            <w:tcBorders>
              <w:top w:val="thinThickSmallGap" w:sz="24" w:space="0" w:color="auto"/>
            </w:tcBorders>
            <w:shd w:val="clear" w:color="auto" w:fill="BFBFBF" w:themeFill="background1" w:themeFillShade="BF"/>
            <w:vAlign w:val="center"/>
          </w:tcPr>
          <w:p w:rsidR="00F02794" w:rsidRPr="00F40195" w:rsidRDefault="00F02794" w:rsidP="009118E4">
            <w:pPr>
              <w:widowControl w:val="0"/>
              <w:autoSpaceDE w:val="0"/>
              <w:autoSpaceDN w:val="0"/>
              <w:adjustRightInd w:val="0"/>
              <w:contextualSpacing/>
              <w:jc w:val="right"/>
              <w:rPr>
                <w:iCs/>
              </w:rPr>
            </w:pPr>
            <w:r w:rsidRPr="00F40195">
              <w:rPr>
                <w:iCs/>
              </w:rPr>
              <w:t>3,807 (17)</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Alabama</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5,610 (13)</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5,490 (13)</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Arkansas</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1,468 (41)</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1,854 (35)</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Indiana</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3,281 (24)</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2,824 (25)</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Missouri</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1,704 (39)</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1,731 (38)</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Ohio</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2,071 (35)</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1,838 (36)</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Tennessee</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6,814 (11)</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7,204 (10)</w:t>
            </w:r>
          </w:p>
        </w:tc>
      </w:tr>
      <w:tr w:rsidR="00F02794" w:rsidRPr="00F40195" w:rsidTr="002F335C">
        <w:trPr>
          <w:trHeight w:val="504"/>
        </w:trPr>
        <w:tc>
          <w:tcPr>
            <w:tcW w:w="2952" w:type="dxa"/>
            <w:tcBorders>
              <w:right w:val="thinThickSmallGap" w:sz="24" w:space="0" w:color="auto"/>
            </w:tcBorders>
            <w:vAlign w:val="center"/>
          </w:tcPr>
          <w:p w:rsidR="00F02794" w:rsidRPr="00F40195" w:rsidRDefault="00F02794" w:rsidP="009118E4">
            <w:pPr>
              <w:widowControl w:val="0"/>
              <w:autoSpaceDE w:val="0"/>
              <w:autoSpaceDN w:val="0"/>
              <w:adjustRightInd w:val="0"/>
              <w:contextualSpacing/>
              <w:jc w:val="center"/>
              <w:rPr>
                <w:i/>
                <w:iCs/>
              </w:rPr>
            </w:pPr>
            <w:r w:rsidRPr="00F40195">
              <w:t>West Virginia</w:t>
            </w:r>
          </w:p>
        </w:tc>
        <w:tc>
          <w:tcPr>
            <w:tcW w:w="2952" w:type="dxa"/>
            <w:tcBorders>
              <w:left w:val="thinThickSmallGap" w:sz="24" w:space="0" w:color="auto"/>
            </w:tcBorders>
            <w:vAlign w:val="center"/>
          </w:tcPr>
          <w:p w:rsidR="00F02794" w:rsidRPr="00F40195" w:rsidRDefault="00F02794" w:rsidP="009118E4">
            <w:pPr>
              <w:widowControl w:val="0"/>
              <w:autoSpaceDE w:val="0"/>
              <w:autoSpaceDN w:val="0"/>
              <w:adjustRightInd w:val="0"/>
              <w:contextualSpacing/>
              <w:jc w:val="right"/>
              <w:rPr>
                <w:iCs/>
              </w:rPr>
            </w:pPr>
            <w:r w:rsidRPr="00F40195">
              <w:rPr>
                <w:iCs/>
              </w:rPr>
              <w:t>5,101 (14)</w:t>
            </w:r>
          </w:p>
        </w:tc>
        <w:tc>
          <w:tcPr>
            <w:tcW w:w="2952" w:type="dxa"/>
            <w:vAlign w:val="center"/>
          </w:tcPr>
          <w:p w:rsidR="00F02794" w:rsidRPr="00F40195" w:rsidRDefault="00F02794" w:rsidP="009118E4">
            <w:pPr>
              <w:widowControl w:val="0"/>
              <w:autoSpaceDE w:val="0"/>
              <w:autoSpaceDN w:val="0"/>
              <w:adjustRightInd w:val="0"/>
              <w:contextualSpacing/>
              <w:jc w:val="right"/>
              <w:rPr>
                <w:iCs/>
              </w:rPr>
            </w:pPr>
            <w:r w:rsidRPr="00F40195">
              <w:rPr>
                <w:iCs/>
              </w:rPr>
              <w:t>5,131 (14)</w:t>
            </w:r>
          </w:p>
        </w:tc>
      </w:tr>
    </w:tbl>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Source: National Education Association. Rankings and Estimates, 2000 through 2013</w:t>
      </w:r>
    </w:p>
    <w:p w:rsidR="00F02794" w:rsidRPr="00F40195" w:rsidRDefault="00F02794" w:rsidP="008D674A">
      <w:pPr>
        <w:pStyle w:val="Heading3"/>
      </w:pPr>
      <w:bookmarkStart w:id="47" w:name="_Toc385250716"/>
      <w:bookmarkStart w:id="48" w:name="_Toc395180658"/>
      <w:r w:rsidRPr="00F40195">
        <w:t>Low-Income Student Population</w:t>
      </w:r>
      <w:bookmarkEnd w:id="47"/>
      <w:bookmarkEnd w:id="48"/>
    </w:p>
    <w:p w:rsidR="00F02794" w:rsidRPr="00F40195" w:rsidRDefault="00F02794" w:rsidP="00F40195">
      <w:pPr>
        <w:widowControl w:val="0"/>
        <w:autoSpaceDE w:val="0"/>
        <w:autoSpaceDN w:val="0"/>
        <w:adjustRightInd w:val="0"/>
        <w:spacing w:after="240" w:line="240" w:lineRule="auto"/>
        <w:rPr>
          <w:rFonts w:cs="Times New Roman"/>
          <w:bCs/>
        </w:rPr>
      </w:pPr>
      <w:r w:rsidRPr="00F40195">
        <w:rPr>
          <w:rFonts w:cs="Times New Roman"/>
          <w:bCs/>
        </w:rPr>
        <w:t>A recent study found that the majority of states use a student’s qualification for the federal free or reduced price lunch program to identify students as at-risk</w:t>
      </w:r>
      <w:r w:rsidR="00E2519A">
        <w:rPr>
          <w:rFonts w:cs="Times New Roman"/>
          <w:bCs/>
        </w:rPr>
        <w:t xml:space="preserve"> (Verstegen 2011).</w:t>
      </w:r>
      <w:r w:rsidRPr="00F40195">
        <w:rPr>
          <w:rFonts w:cs="Times New Roman"/>
          <w:bCs/>
        </w:rPr>
        <w:t xml:space="preserve"> A student qualifies for the free lunch program if </w:t>
      </w:r>
      <w:r w:rsidR="00EA6320">
        <w:rPr>
          <w:rFonts w:cs="Times New Roman"/>
          <w:bCs/>
        </w:rPr>
        <w:t>his/her</w:t>
      </w:r>
      <w:r w:rsidR="00EA6320" w:rsidRPr="00F40195">
        <w:rPr>
          <w:rFonts w:cs="Times New Roman"/>
          <w:bCs/>
        </w:rPr>
        <w:t xml:space="preserve"> </w:t>
      </w:r>
      <w:r w:rsidRPr="00F40195">
        <w:rPr>
          <w:rFonts w:cs="Times New Roman"/>
          <w:bCs/>
        </w:rPr>
        <w:t>family income is 130</w:t>
      </w:r>
      <w:r w:rsidR="00553331" w:rsidRPr="00F40195">
        <w:rPr>
          <w:rFonts w:cs="Times New Roman"/>
          <w:bCs/>
        </w:rPr>
        <w:t xml:space="preserve"> percent</w:t>
      </w:r>
      <w:r w:rsidRPr="00F40195">
        <w:rPr>
          <w:rFonts w:cs="Times New Roman"/>
          <w:bCs/>
        </w:rPr>
        <w:t xml:space="preserve"> or less than the federal poverty level. </w:t>
      </w:r>
      <w:r w:rsidR="00EA6320">
        <w:rPr>
          <w:rFonts w:cs="Times New Roman"/>
          <w:bCs/>
        </w:rPr>
        <w:t>Students</w:t>
      </w:r>
      <w:r w:rsidR="00EA6320" w:rsidRPr="00F40195">
        <w:rPr>
          <w:rFonts w:cs="Times New Roman"/>
          <w:bCs/>
        </w:rPr>
        <w:t xml:space="preserve"> </w:t>
      </w:r>
      <w:r w:rsidRPr="00F40195">
        <w:rPr>
          <w:rFonts w:cs="Times New Roman"/>
          <w:bCs/>
        </w:rPr>
        <w:t xml:space="preserve">qualify for a reduced price lunch if </w:t>
      </w:r>
      <w:r w:rsidR="00EA6320">
        <w:rPr>
          <w:rFonts w:cs="Times New Roman"/>
          <w:bCs/>
        </w:rPr>
        <w:t xml:space="preserve">their </w:t>
      </w:r>
      <w:r w:rsidRPr="00F40195">
        <w:rPr>
          <w:rFonts w:cs="Times New Roman"/>
          <w:bCs/>
        </w:rPr>
        <w:t>family income is between 130</w:t>
      </w:r>
      <w:r w:rsidR="00553331" w:rsidRPr="00F40195">
        <w:rPr>
          <w:rFonts w:cs="Times New Roman"/>
          <w:bCs/>
        </w:rPr>
        <w:t xml:space="preserve"> percent</w:t>
      </w:r>
      <w:r w:rsidRPr="00F40195">
        <w:rPr>
          <w:rFonts w:cs="Times New Roman"/>
          <w:bCs/>
        </w:rPr>
        <w:t xml:space="preserve"> and 185</w:t>
      </w:r>
      <w:r w:rsidR="00553331" w:rsidRPr="00F40195">
        <w:rPr>
          <w:rFonts w:cs="Times New Roman"/>
          <w:bCs/>
        </w:rPr>
        <w:t xml:space="preserve"> percent</w:t>
      </w:r>
      <w:r w:rsidRPr="00F40195">
        <w:rPr>
          <w:rFonts w:cs="Times New Roman"/>
          <w:bCs/>
        </w:rPr>
        <w:t xml:space="preserve"> of the federal poverty rate. </w:t>
      </w:r>
      <w:r w:rsidR="009118E4">
        <w:rPr>
          <w:rFonts w:cs="Times New Roman"/>
          <w:bCs/>
        </w:rPr>
        <w:t>In the 2011-12 school year 54.4 percent</w:t>
      </w:r>
      <w:r w:rsidRPr="00F40195">
        <w:rPr>
          <w:rFonts w:cs="Times New Roman"/>
          <w:bCs/>
        </w:rPr>
        <w:t xml:space="preserve"> of Kentucky’s students qualified for the F/R </w:t>
      </w:r>
      <w:r w:rsidR="006F5BF7">
        <w:rPr>
          <w:rFonts w:cs="Times New Roman"/>
          <w:bCs/>
        </w:rPr>
        <w:t>price l</w:t>
      </w:r>
      <w:r w:rsidRPr="00F40195">
        <w:rPr>
          <w:rFonts w:cs="Times New Roman"/>
          <w:bCs/>
        </w:rPr>
        <w:t>unch program – this is a 3.1</w:t>
      </w:r>
      <w:r w:rsidR="00553331" w:rsidRPr="00F40195">
        <w:rPr>
          <w:rFonts w:cs="Times New Roman"/>
          <w:bCs/>
        </w:rPr>
        <w:t xml:space="preserve"> percent</w:t>
      </w:r>
      <w:r w:rsidRPr="00F40195">
        <w:rPr>
          <w:rFonts w:cs="Times New Roman"/>
          <w:bCs/>
        </w:rPr>
        <w:t xml:space="preserve"> increase from 2006-07 – the year prior to the start of the recession. The percentage of students who qualify for the F/R price lunch program in Kentucky has actually decreased from its high of 56.6</w:t>
      </w:r>
      <w:r w:rsidR="00553331" w:rsidRPr="00F40195">
        <w:rPr>
          <w:rFonts w:cs="Times New Roman"/>
          <w:bCs/>
        </w:rPr>
        <w:t xml:space="preserve"> percent</w:t>
      </w:r>
      <w:r w:rsidRPr="00F40195">
        <w:rPr>
          <w:rFonts w:cs="Times New Roman"/>
          <w:bCs/>
        </w:rPr>
        <w:t xml:space="preserve"> in 2010-11.</w:t>
      </w:r>
    </w:p>
    <w:p w:rsidR="00F02794" w:rsidRPr="00F40195" w:rsidRDefault="00F02794" w:rsidP="00F40195">
      <w:pPr>
        <w:spacing w:line="240" w:lineRule="auto"/>
        <w:rPr>
          <w:rFonts w:cs="Times New Roman"/>
          <w:b/>
          <w:bCs/>
        </w:rPr>
      </w:pPr>
      <w:r w:rsidRPr="00F40195">
        <w:rPr>
          <w:rFonts w:cs="Times New Roman"/>
          <w:b/>
          <w:b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 xml:space="preserve">Table </w:t>
      </w:r>
      <w:r w:rsidR="00F02794" w:rsidRPr="00F40195">
        <w:rPr>
          <w:rFonts w:cs="Times New Roman"/>
          <w:b/>
          <w:bCs/>
        </w:rPr>
        <w:t>2</w:t>
      </w:r>
      <w:r w:rsidR="002F335C" w:rsidRPr="00F40195">
        <w:rPr>
          <w:rFonts w:cs="Times New Roman"/>
          <w:b/>
          <w:bCs/>
        </w:rPr>
        <w:t>.10</w:t>
      </w:r>
    </w:p>
    <w:p w:rsidR="00F02794" w:rsidRDefault="002F335C" w:rsidP="009118E4">
      <w:pPr>
        <w:widowControl w:val="0"/>
        <w:autoSpaceDE w:val="0"/>
        <w:autoSpaceDN w:val="0"/>
        <w:adjustRightInd w:val="0"/>
        <w:spacing w:line="240" w:lineRule="auto"/>
        <w:jc w:val="center"/>
        <w:rPr>
          <w:rFonts w:cs="Times New Roman"/>
          <w:b/>
          <w:bCs/>
        </w:rPr>
      </w:pPr>
      <w:r w:rsidRPr="00F40195">
        <w:rPr>
          <w:rFonts w:cs="Times New Roman"/>
          <w:b/>
          <w:bCs/>
        </w:rPr>
        <w:t>Low-Income Students b</w:t>
      </w:r>
      <w:r w:rsidR="00F02794" w:rsidRPr="00F40195">
        <w:rPr>
          <w:rFonts w:cs="Times New Roman"/>
          <w:b/>
          <w:bCs/>
        </w:rPr>
        <w:t>y State</w:t>
      </w:r>
    </w:p>
    <w:p w:rsidR="009118E4" w:rsidRPr="00F40195" w:rsidRDefault="009118E4" w:rsidP="009118E4">
      <w:pPr>
        <w:widowControl w:val="0"/>
        <w:autoSpaceDE w:val="0"/>
        <w:autoSpaceDN w:val="0"/>
        <w:adjustRightInd w:val="0"/>
        <w:spacing w:line="240" w:lineRule="auto"/>
        <w:rPr>
          <w:rFonts w:cs="Times New Roman"/>
          <w:b/>
          <w:bCs/>
        </w:rPr>
      </w:pPr>
    </w:p>
    <w:tbl>
      <w:tblPr>
        <w:tblStyle w:val="TableGrid"/>
        <w:tblW w:w="0" w:type="auto"/>
        <w:jc w:val="center"/>
        <w:tblLook w:val="04A0" w:firstRow="1" w:lastRow="0" w:firstColumn="1" w:lastColumn="0" w:noHBand="0" w:noVBand="1"/>
      </w:tblPr>
      <w:tblGrid>
        <w:gridCol w:w="1771"/>
        <w:gridCol w:w="1771"/>
        <w:gridCol w:w="1771"/>
      </w:tblGrid>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rPr>
                <w:iCs/>
              </w:rPr>
            </w:pPr>
          </w:p>
        </w:tc>
        <w:tc>
          <w:tcPr>
            <w:tcW w:w="3542" w:type="dxa"/>
            <w:gridSpan w:val="2"/>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Percentage of Students Eligible for Free/Reduced Price Lunch</w:t>
            </w:r>
          </w:p>
          <w:p w:rsidR="00F02794" w:rsidRPr="00F40195" w:rsidRDefault="00F02794" w:rsidP="00F40195">
            <w:pPr>
              <w:widowControl w:val="0"/>
              <w:autoSpaceDE w:val="0"/>
              <w:autoSpaceDN w:val="0"/>
              <w:adjustRightInd w:val="0"/>
              <w:spacing w:after="240"/>
              <w:contextualSpacing/>
              <w:jc w:val="center"/>
              <w:rPr>
                <w:i/>
                <w:iCs/>
              </w:rPr>
            </w:pPr>
            <w:r w:rsidRPr="00F40195">
              <w:rPr>
                <w:bCs/>
                <w:i/>
              </w:rPr>
              <w:t>(National Rank)</w:t>
            </w:r>
          </w:p>
        </w:tc>
      </w:tr>
      <w:tr w:rsidR="00F02794" w:rsidRPr="00F40195" w:rsidTr="009118E4">
        <w:trPr>
          <w:trHeight w:val="432"/>
          <w:jc w:val="center"/>
        </w:trPr>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rPr>
                <w:iCs/>
              </w:rPr>
            </w:pPr>
          </w:p>
        </w:tc>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2006-07</w:t>
            </w:r>
          </w:p>
        </w:tc>
        <w:tc>
          <w:tcPr>
            <w:tcW w:w="1771" w:type="dxa"/>
            <w:tcBorders>
              <w:bottom w:val="single" w:sz="4" w:space="0" w:color="auto"/>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2011-2012</w:t>
            </w:r>
          </w:p>
        </w:tc>
      </w:tr>
      <w:tr w:rsidR="00F02794" w:rsidRPr="00F40195" w:rsidTr="009118E4">
        <w:trPr>
          <w:trHeight w:val="432"/>
          <w:jc w:val="center"/>
        </w:trPr>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National</w:t>
            </w:r>
          </w:p>
        </w:tc>
        <w:tc>
          <w:tcPr>
            <w:tcW w:w="1771" w:type="dxa"/>
            <w:tcBorders>
              <w:bottom w:val="thinThickSmallGap" w:sz="24" w:space="0" w:color="auto"/>
            </w:tcBorders>
            <w:vAlign w:val="center"/>
          </w:tcPr>
          <w:p w:rsidR="00F02794" w:rsidRPr="00F40195" w:rsidRDefault="00F02794" w:rsidP="00F40195">
            <w:pPr>
              <w:contextualSpacing/>
              <w:jc w:val="center"/>
              <w:rPr>
                <w:color w:val="000000"/>
              </w:rPr>
            </w:pPr>
            <w:r w:rsidRPr="00F40195">
              <w:rPr>
                <w:color w:val="000000"/>
              </w:rPr>
              <w:t>42.4%</w:t>
            </w:r>
          </w:p>
        </w:tc>
        <w:tc>
          <w:tcPr>
            <w:tcW w:w="1771" w:type="dxa"/>
            <w:tcBorders>
              <w:bottom w:val="thinThickSmallGap" w:sz="24" w:space="0" w:color="auto"/>
              <w:right w:val="single" w:sz="4" w:space="0" w:color="auto"/>
            </w:tcBorders>
            <w:vAlign w:val="center"/>
          </w:tcPr>
          <w:p w:rsidR="00F02794" w:rsidRPr="00F40195" w:rsidRDefault="00F02794" w:rsidP="00F40195">
            <w:pPr>
              <w:contextualSpacing/>
              <w:jc w:val="center"/>
            </w:pPr>
            <w:r w:rsidRPr="00F40195">
              <w:t>49.6%</w:t>
            </w:r>
          </w:p>
        </w:tc>
      </w:tr>
      <w:tr w:rsidR="00AF0DE1" w:rsidRPr="00F40195" w:rsidTr="009118E4">
        <w:trPr>
          <w:trHeight w:val="432"/>
          <w:jc w:val="center"/>
        </w:trPr>
        <w:tc>
          <w:tcPr>
            <w:tcW w:w="1771" w:type="dxa"/>
            <w:tcBorders>
              <w:bottom w:val="thinThickSmallGap" w:sz="24" w:space="0" w:color="auto"/>
            </w:tcBorders>
            <w:vAlign w:val="center"/>
          </w:tcPr>
          <w:p w:rsidR="00AF0DE1" w:rsidRPr="00F40195" w:rsidRDefault="00AF0DE1" w:rsidP="00F40195">
            <w:pPr>
              <w:widowControl w:val="0"/>
              <w:autoSpaceDE w:val="0"/>
              <w:autoSpaceDN w:val="0"/>
              <w:adjustRightInd w:val="0"/>
              <w:spacing w:after="240"/>
              <w:contextualSpacing/>
              <w:jc w:val="center"/>
              <w:rPr>
                <w:iCs/>
              </w:rPr>
            </w:pPr>
            <w:r>
              <w:rPr>
                <w:iCs/>
              </w:rPr>
              <w:t>Comparative States</w:t>
            </w:r>
          </w:p>
        </w:tc>
        <w:tc>
          <w:tcPr>
            <w:tcW w:w="1771" w:type="dxa"/>
            <w:tcBorders>
              <w:bottom w:val="thinThickSmallGap" w:sz="24" w:space="0" w:color="auto"/>
            </w:tcBorders>
            <w:vAlign w:val="center"/>
          </w:tcPr>
          <w:p w:rsidR="00AF0DE1" w:rsidRPr="00F40195" w:rsidRDefault="00AF0DE1" w:rsidP="00F40195">
            <w:pPr>
              <w:contextualSpacing/>
              <w:jc w:val="center"/>
              <w:rPr>
                <w:color w:val="000000"/>
              </w:rPr>
            </w:pPr>
            <w:r>
              <w:rPr>
                <w:color w:val="000000"/>
              </w:rPr>
              <w:t>42.0%</w:t>
            </w:r>
          </w:p>
        </w:tc>
        <w:tc>
          <w:tcPr>
            <w:tcW w:w="1771" w:type="dxa"/>
            <w:tcBorders>
              <w:bottom w:val="thinThickSmallGap" w:sz="24" w:space="0" w:color="auto"/>
              <w:right w:val="single" w:sz="4" w:space="0" w:color="auto"/>
            </w:tcBorders>
            <w:vAlign w:val="center"/>
          </w:tcPr>
          <w:p w:rsidR="00AF0DE1" w:rsidRPr="00F40195" w:rsidRDefault="00AF0DE1" w:rsidP="00F40195">
            <w:pPr>
              <w:contextualSpacing/>
              <w:jc w:val="center"/>
            </w:pPr>
            <w:r>
              <w:t>50.2%</w:t>
            </w:r>
          </w:p>
        </w:tc>
      </w:tr>
      <w:tr w:rsidR="00F02794" w:rsidRPr="00F40195" w:rsidTr="009118E4">
        <w:trPr>
          <w:trHeight w:val="432"/>
          <w:jc w:val="center"/>
        </w:trPr>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Kentucky</w:t>
            </w:r>
          </w:p>
        </w:tc>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51.3% (8)</w:t>
            </w:r>
          </w:p>
        </w:tc>
        <w:tc>
          <w:tcPr>
            <w:tcW w:w="1771" w:type="dxa"/>
            <w:tcBorders>
              <w:top w:val="thinThickSmallGap" w:sz="24" w:space="0" w:color="auto"/>
              <w:right w:val="single" w:sz="4" w:space="0" w:color="auto"/>
            </w:tcBorders>
            <w:shd w:val="clear" w:color="auto" w:fill="BFBFBF" w:themeFill="background1" w:themeFillShade="BF"/>
            <w:vAlign w:val="center"/>
          </w:tcPr>
          <w:p w:rsidR="00F02794" w:rsidRPr="00F40195" w:rsidRDefault="00F02794" w:rsidP="00F40195">
            <w:pPr>
              <w:contextualSpacing/>
              <w:jc w:val="right"/>
            </w:pPr>
            <w:r w:rsidRPr="00F40195">
              <w:t>54.4% (12)</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Alabama</w:t>
            </w:r>
          </w:p>
        </w:tc>
        <w:tc>
          <w:tcPr>
            <w:tcW w:w="1771" w:type="dxa"/>
            <w:vAlign w:val="center"/>
          </w:tcPr>
          <w:p w:rsidR="00F02794" w:rsidRPr="00F40195" w:rsidRDefault="00F02794" w:rsidP="00F40195">
            <w:pPr>
              <w:contextualSpacing/>
              <w:jc w:val="right"/>
              <w:rPr>
                <w:color w:val="000000"/>
              </w:rPr>
            </w:pPr>
            <w:r w:rsidRPr="00F40195">
              <w:rPr>
                <w:color w:val="000000"/>
              </w:rPr>
              <w:t>51.0% (10)</w:t>
            </w:r>
          </w:p>
        </w:tc>
        <w:tc>
          <w:tcPr>
            <w:tcW w:w="1771" w:type="dxa"/>
            <w:tcBorders>
              <w:right w:val="single" w:sz="4" w:space="0" w:color="auto"/>
            </w:tcBorders>
            <w:vAlign w:val="center"/>
          </w:tcPr>
          <w:p w:rsidR="00F02794" w:rsidRPr="00F40195" w:rsidRDefault="00F02794" w:rsidP="00F40195">
            <w:pPr>
              <w:contextualSpacing/>
              <w:jc w:val="right"/>
            </w:pPr>
            <w:r w:rsidRPr="00F40195">
              <w:t>57.5% (10)</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Arkansas</w:t>
            </w:r>
          </w:p>
        </w:tc>
        <w:tc>
          <w:tcPr>
            <w:tcW w:w="1771" w:type="dxa"/>
            <w:vAlign w:val="center"/>
          </w:tcPr>
          <w:p w:rsidR="00F02794" w:rsidRPr="00F40195" w:rsidRDefault="00F02794" w:rsidP="00F40195">
            <w:pPr>
              <w:contextualSpacing/>
              <w:jc w:val="right"/>
              <w:rPr>
                <w:color w:val="000000"/>
              </w:rPr>
            </w:pPr>
            <w:r w:rsidRPr="00F40195">
              <w:rPr>
                <w:color w:val="000000"/>
              </w:rPr>
              <w:t>58.7% (</w:t>
            </w:r>
            <w:r w:rsidR="00955B79" w:rsidRPr="00F40195">
              <w:rPr>
                <w:color w:val="000000"/>
              </w:rPr>
              <w:t>0</w:t>
            </w:r>
            <w:r w:rsidRPr="00F40195">
              <w:rPr>
                <w:color w:val="000000"/>
              </w:rPr>
              <w:t>5)</w:t>
            </w:r>
          </w:p>
        </w:tc>
        <w:tc>
          <w:tcPr>
            <w:tcW w:w="1771" w:type="dxa"/>
            <w:tcBorders>
              <w:right w:val="single" w:sz="4" w:space="0" w:color="auto"/>
            </w:tcBorders>
            <w:vAlign w:val="center"/>
          </w:tcPr>
          <w:p w:rsidR="00F02794" w:rsidRPr="00F40195" w:rsidRDefault="00F02794" w:rsidP="00F40195">
            <w:pPr>
              <w:contextualSpacing/>
              <w:jc w:val="right"/>
            </w:pPr>
            <w:r w:rsidRPr="00F40195">
              <w:t>60.9% (</w:t>
            </w:r>
            <w:r w:rsidR="00955B79" w:rsidRPr="00F40195">
              <w:t>0</w:t>
            </w:r>
            <w:r w:rsidRPr="00F40195">
              <w:t>6)</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Indiana</w:t>
            </w:r>
          </w:p>
        </w:tc>
        <w:tc>
          <w:tcPr>
            <w:tcW w:w="1771" w:type="dxa"/>
            <w:vAlign w:val="center"/>
          </w:tcPr>
          <w:p w:rsidR="00F02794" w:rsidRPr="00F40195" w:rsidRDefault="00F02794" w:rsidP="00F40195">
            <w:pPr>
              <w:contextualSpacing/>
              <w:jc w:val="right"/>
              <w:rPr>
                <w:color w:val="000000"/>
              </w:rPr>
            </w:pPr>
            <w:r w:rsidRPr="00F40195">
              <w:rPr>
                <w:color w:val="000000"/>
              </w:rPr>
              <w:t>37.6% (27)</w:t>
            </w:r>
          </w:p>
        </w:tc>
        <w:tc>
          <w:tcPr>
            <w:tcW w:w="1771" w:type="dxa"/>
            <w:tcBorders>
              <w:right w:val="single" w:sz="4" w:space="0" w:color="auto"/>
            </w:tcBorders>
            <w:vAlign w:val="center"/>
          </w:tcPr>
          <w:p w:rsidR="00F02794" w:rsidRPr="00F40195" w:rsidRDefault="00F02794" w:rsidP="00F40195">
            <w:pPr>
              <w:contextualSpacing/>
              <w:jc w:val="right"/>
            </w:pPr>
            <w:r w:rsidRPr="00F40195">
              <w:t>48.0% (26)</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Missouri</w:t>
            </w:r>
          </w:p>
        </w:tc>
        <w:tc>
          <w:tcPr>
            <w:tcW w:w="1771" w:type="dxa"/>
            <w:vAlign w:val="center"/>
          </w:tcPr>
          <w:p w:rsidR="00F02794" w:rsidRPr="00F40195" w:rsidRDefault="00F02794" w:rsidP="00F40195">
            <w:pPr>
              <w:contextualSpacing/>
              <w:jc w:val="right"/>
              <w:rPr>
                <w:color w:val="000000"/>
              </w:rPr>
            </w:pPr>
            <w:r w:rsidRPr="00F40195">
              <w:rPr>
                <w:color w:val="000000"/>
              </w:rPr>
              <w:t>39.1% (24)</w:t>
            </w:r>
          </w:p>
        </w:tc>
        <w:tc>
          <w:tcPr>
            <w:tcW w:w="1771" w:type="dxa"/>
            <w:tcBorders>
              <w:right w:val="single" w:sz="4" w:space="0" w:color="auto"/>
            </w:tcBorders>
            <w:vAlign w:val="center"/>
          </w:tcPr>
          <w:p w:rsidR="00F02794" w:rsidRPr="00F40195" w:rsidRDefault="00F02794" w:rsidP="00F40195">
            <w:pPr>
              <w:contextualSpacing/>
              <w:jc w:val="right"/>
            </w:pPr>
            <w:r w:rsidRPr="00F40195">
              <w:t>46.5% (29)</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Ohio</w:t>
            </w:r>
          </w:p>
        </w:tc>
        <w:tc>
          <w:tcPr>
            <w:tcW w:w="1771" w:type="dxa"/>
            <w:vAlign w:val="center"/>
          </w:tcPr>
          <w:p w:rsidR="00F02794" w:rsidRPr="00F40195" w:rsidRDefault="00F02794" w:rsidP="00F40195">
            <w:pPr>
              <w:contextualSpacing/>
              <w:jc w:val="right"/>
              <w:rPr>
                <w:color w:val="000000"/>
              </w:rPr>
            </w:pPr>
            <w:r w:rsidRPr="00F40195">
              <w:rPr>
                <w:color w:val="000000"/>
              </w:rPr>
              <w:t>33.8% (35)</w:t>
            </w:r>
          </w:p>
        </w:tc>
        <w:tc>
          <w:tcPr>
            <w:tcW w:w="1771" w:type="dxa"/>
            <w:tcBorders>
              <w:right w:val="single" w:sz="4" w:space="0" w:color="auto"/>
            </w:tcBorders>
            <w:vAlign w:val="center"/>
          </w:tcPr>
          <w:p w:rsidR="00F02794" w:rsidRPr="00F40195" w:rsidRDefault="00F02794" w:rsidP="00F40195">
            <w:pPr>
              <w:contextualSpacing/>
              <w:jc w:val="right"/>
            </w:pPr>
            <w:r w:rsidRPr="00F40195">
              <w:t>43.6% (33)</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Tennessee</w:t>
            </w:r>
          </w:p>
        </w:tc>
        <w:tc>
          <w:tcPr>
            <w:tcW w:w="1771" w:type="dxa"/>
            <w:vAlign w:val="center"/>
          </w:tcPr>
          <w:p w:rsidR="00F02794" w:rsidRPr="00F40195" w:rsidRDefault="00F02794" w:rsidP="00F40195">
            <w:pPr>
              <w:contextualSpacing/>
              <w:jc w:val="right"/>
              <w:rPr>
                <w:color w:val="000000"/>
              </w:rPr>
            </w:pPr>
            <w:r w:rsidRPr="00F40195">
              <w:rPr>
                <w:color w:val="000000"/>
              </w:rPr>
              <w:t>48.7% (13)</w:t>
            </w:r>
          </w:p>
        </w:tc>
        <w:tc>
          <w:tcPr>
            <w:tcW w:w="1771" w:type="dxa"/>
            <w:tcBorders>
              <w:right w:val="single" w:sz="4" w:space="0" w:color="auto"/>
            </w:tcBorders>
            <w:vAlign w:val="center"/>
          </w:tcPr>
          <w:p w:rsidR="00F02794" w:rsidRPr="00F40195" w:rsidRDefault="00F02794" w:rsidP="00F40195">
            <w:pPr>
              <w:contextualSpacing/>
              <w:jc w:val="right"/>
            </w:pPr>
            <w:r w:rsidRPr="00F40195">
              <w:t>57.5% (</w:t>
            </w:r>
            <w:r w:rsidR="00955B79" w:rsidRPr="00F40195">
              <w:t>0</w:t>
            </w:r>
            <w:r w:rsidRPr="00F40195">
              <w:t>9)</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West Virginia</w:t>
            </w:r>
          </w:p>
        </w:tc>
        <w:tc>
          <w:tcPr>
            <w:tcW w:w="1771" w:type="dxa"/>
            <w:vAlign w:val="center"/>
          </w:tcPr>
          <w:p w:rsidR="00F02794" w:rsidRPr="00F40195" w:rsidRDefault="00F02794" w:rsidP="00F40195">
            <w:pPr>
              <w:contextualSpacing/>
              <w:jc w:val="right"/>
              <w:rPr>
                <w:color w:val="000000"/>
              </w:rPr>
            </w:pPr>
            <w:r w:rsidRPr="00F40195">
              <w:rPr>
                <w:color w:val="000000"/>
              </w:rPr>
              <w:t>49.7% (12)</w:t>
            </w:r>
          </w:p>
        </w:tc>
        <w:tc>
          <w:tcPr>
            <w:tcW w:w="1771" w:type="dxa"/>
            <w:tcBorders>
              <w:right w:val="single" w:sz="4" w:space="0" w:color="auto"/>
            </w:tcBorders>
            <w:vAlign w:val="center"/>
          </w:tcPr>
          <w:p w:rsidR="00F02794" w:rsidRPr="00F40195" w:rsidRDefault="00F02794" w:rsidP="00F40195">
            <w:pPr>
              <w:contextualSpacing/>
              <w:jc w:val="right"/>
            </w:pPr>
            <w:r w:rsidRPr="00F40195">
              <w:t>52.8% (16)</w:t>
            </w:r>
          </w:p>
        </w:tc>
      </w:tr>
    </w:tbl>
    <w:p w:rsidR="00F02794" w:rsidRPr="009118E4" w:rsidRDefault="00F02794" w:rsidP="009118E4">
      <w:pPr>
        <w:widowControl w:val="0"/>
        <w:autoSpaceDE w:val="0"/>
        <w:autoSpaceDN w:val="0"/>
        <w:adjustRightInd w:val="0"/>
        <w:spacing w:after="240" w:line="240" w:lineRule="auto"/>
        <w:ind w:left="1440" w:firstLine="720"/>
        <w:rPr>
          <w:rFonts w:cs="Times New Roman"/>
          <w:bCs/>
          <w:sz w:val="22"/>
        </w:rPr>
      </w:pPr>
      <w:r w:rsidRPr="009118E4">
        <w:rPr>
          <w:rFonts w:cs="Times New Roman"/>
          <w:bCs/>
          <w:sz w:val="22"/>
        </w:rPr>
        <w:t>Source: U.S. Department of Education</w:t>
      </w:r>
    </w:p>
    <w:p w:rsidR="00F02794" w:rsidRPr="00F40195" w:rsidRDefault="00F02794" w:rsidP="008D674A">
      <w:pPr>
        <w:pStyle w:val="Heading3"/>
      </w:pPr>
      <w:bookmarkStart w:id="49" w:name="_Toc395180659"/>
      <w:bookmarkStart w:id="50" w:name="_Toc385250717"/>
      <w:r w:rsidRPr="00F40195">
        <w:t>English Learner</w:t>
      </w:r>
      <w:r w:rsidR="00955B79" w:rsidRPr="00F40195">
        <w:t>s</w:t>
      </w:r>
      <w:bookmarkEnd w:id="49"/>
      <w:r w:rsidRPr="00F40195">
        <w:t xml:space="preserve"> </w:t>
      </w:r>
      <w:bookmarkEnd w:id="50"/>
    </w:p>
    <w:p w:rsidR="00F02794" w:rsidRPr="00F40195" w:rsidRDefault="00F02794" w:rsidP="00F40195">
      <w:pPr>
        <w:widowControl w:val="0"/>
        <w:autoSpaceDE w:val="0"/>
        <w:autoSpaceDN w:val="0"/>
        <w:adjustRightInd w:val="0"/>
        <w:spacing w:after="240" w:line="240" w:lineRule="auto"/>
        <w:rPr>
          <w:rFonts w:cs="Times New Roman"/>
          <w:bCs/>
        </w:rPr>
      </w:pPr>
      <w:r w:rsidRPr="00F40195">
        <w:rPr>
          <w:rFonts w:cs="Times New Roman"/>
          <w:bCs/>
        </w:rPr>
        <w:t>In 2010-11, 2.7 percent of students in Kentucky were identified as “English Learners” (EL</w:t>
      </w:r>
      <w:r w:rsidR="00955B79" w:rsidRPr="00F40195">
        <w:rPr>
          <w:rFonts w:cs="Times New Roman"/>
          <w:bCs/>
        </w:rPr>
        <w:t>s</w:t>
      </w:r>
      <w:r w:rsidRPr="00F40195">
        <w:rPr>
          <w:rFonts w:cs="Times New Roman"/>
          <w:bCs/>
        </w:rPr>
        <w:t>) ranking the state 42</w:t>
      </w:r>
      <w:r w:rsidRPr="00F40195">
        <w:rPr>
          <w:rFonts w:cs="Times New Roman"/>
          <w:bCs/>
          <w:vertAlign w:val="superscript"/>
        </w:rPr>
        <w:t>nd</w:t>
      </w:r>
      <w:r w:rsidRPr="00F40195">
        <w:rPr>
          <w:rFonts w:cs="Times New Roman"/>
          <w:bCs/>
        </w:rPr>
        <w:t xml:space="preserve"> in the country. At the national level 9.8</w:t>
      </w:r>
      <w:r w:rsidR="00553331" w:rsidRPr="00F40195">
        <w:rPr>
          <w:rFonts w:cs="Times New Roman"/>
          <w:bCs/>
        </w:rPr>
        <w:t xml:space="preserve"> percent</w:t>
      </w:r>
      <w:r w:rsidRPr="00F40195">
        <w:rPr>
          <w:rFonts w:cs="Times New Roman"/>
          <w:bCs/>
        </w:rPr>
        <w:t xml:space="preserve"> of students were identified as EL – this is over four times higher than the rate in Kentucky. All of the comparative states EL populations were below the national average - ranging from Arkansas at 6.6</w:t>
      </w:r>
      <w:r w:rsidR="00553331" w:rsidRPr="00F40195">
        <w:rPr>
          <w:rFonts w:cs="Times New Roman"/>
          <w:bCs/>
        </w:rPr>
        <w:t xml:space="preserve"> percent</w:t>
      </w:r>
      <w:r w:rsidRPr="00F40195">
        <w:rPr>
          <w:rFonts w:cs="Times New Roman"/>
          <w:bCs/>
        </w:rPr>
        <w:t xml:space="preserve"> to West Virginia at 0.6</w:t>
      </w:r>
      <w:r w:rsidR="006F5BF7">
        <w:rPr>
          <w:rFonts w:cs="Times New Roman"/>
          <w:bCs/>
        </w:rPr>
        <w:t xml:space="preserve"> percent</w:t>
      </w:r>
      <w:r w:rsidRPr="00F40195">
        <w:rPr>
          <w:rFonts w:cs="Times New Roman"/>
          <w:bCs/>
        </w:rPr>
        <w:t>. Between 2006-07 and 2010-11 Kentucky saw an increase in their EL population from 1.7</w:t>
      </w:r>
      <w:r w:rsidR="00553331" w:rsidRPr="00F40195">
        <w:rPr>
          <w:rFonts w:cs="Times New Roman"/>
          <w:bCs/>
        </w:rPr>
        <w:t xml:space="preserve"> percent</w:t>
      </w:r>
      <w:r w:rsidRPr="00F40195">
        <w:rPr>
          <w:rFonts w:cs="Times New Roman"/>
          <w:bCs/>
        </w:rPr>
        <w:t xml:space="preserve"> to 2.4</w:t>
      </w:r>
      <w:r w:rsidR="00553331" w:rsidRPr="00F40195">
        <w:rPr>
          <w:rFonts w:cs="Times New Roman"/>
          <w:bCs/>
        </w:rPr>
        <w:t xml:space="preserve"> percent</w:t>
      </w:r>
      <w:r w:rsidR="004E380C">
        <w:rPr>
          <w:rFonts w:cs="Times New Roman"/>
          <w:bCs/>
        </w:rPr>
        <w:t xml:space="preserve"> - an increase of 0.7 percent</w:t>
      </w:r>
      <w:r w:rsidRPr="00F40195">
        <w:rPr>
          <w:rFonts w:cs="Times New Roman"/>
          <w:bCs/>
        </w:rPr>
        <w:t xml:space="preserve"> or approximately 4,600 students.</w:t>
      </w:r>
    </w:p>
    <w:p w:rsidR="00F02794" w:rsidRPr="00F40195" w:rsidRDefault="00F02794" w:rsidP="00F40195">
      <w:pPr>
        <w:spacing w:line="240" w:lineRule="auto"/>
        <w:rPr>
          <w:rFonts w:cs="Times New Roman"/>
          <w:b/>
          <w:bCs/>
        </w:rPr>
      </w:pPr>
      <w:r w:rsidRPr="00F40195">
        <w:rPr>
          <w:rFonts w:cs="Times New Roman"/>
          <w:b/>
          <w:b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 xml:space="preserve">Table </w:t>
      </w:r>
      <w:r w:rsidR="00F02794" w:rsidRPr="00F40195">
        <w:rPr>
          <w:rFonts w:cs="Times New Roman"/>
          <w:b/>
          <w:bCs/>
        </w:rPr>
        <w:t>2.11</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English Learner</w:t>
      </w:r>
      <w:r w:rsidR="00955B79" w:rsidRPr="00F40195">
        <w:rPr>
          <w:rFonts w:cs="Times New Roman"/>
          <w:b/>
          <w:bCs/>
        </w:rPr>
        <w:t>s</w:t>
      </w:r>
      <w:r w:rsidRPr="00F40195">
        <w:rPr>
          <w:rFonts w:cs="Times New Roman"/>
          <w:b/>
          <w:bCs/>
        </w:rPr>
        <w:t xml:space="preserve"> by State</w:t>
      </w:r>
    </w:p>
    <w:p w:rsidR="009118E4" w:rsidRPr="00F40195" w:rsidRDefault="009118E4" w:rsidP="009118E4">
      <w:pPr>
        <w:widowControl w:val="0"/>
        <w:autoSpaceDE w:val="0"/>
        <w:autoSpaceDN w:val="0"/>
        <w:adjustRightInd w:val="0"/>
        <w:spacing w:line="240" w:lineRule="auto"/>
        <w:jc w:val="center"/>
        <w:rPr>
          <w:rFonts w:cs="Times New Roman"/>
          <w:b/>
          <w:bCs/>
        </w:rPr>
      </w:pPr>
    </w:p>
    <w:tbl>
      <w:tblPr>
        <w:tblStyle w:val="TableGrid"/>
        <w:tblW w:w="0" w:type="auto"/>
        <w:jc w:val="center"/>
        <w:tblLook w:val="04A0" w:firstRow="1" w:lastRow="0" w:firstColumn="1" w:lastColumn="0" w:noHBand="0" w:noVBand="1"/>
      </w:tblPr>
      <w:tblGrid>
        <w:gridCol w:w="1771"/>
        <w:gridCol w:w="2117"/>
        <w:gridCol w:w="2070"/>
      </w:tblGrid>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rPr>
                <w:iCs/>
              </w:rPr>
            </w:pPr>
          </w:p>
        </w:tc>
        <w:tc>
          <w:tcPr>
            <w:tcW w:w="4187" w:type="dxa"/>
            <w:gridSpan w:val="2"/>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Percentage of Students who Qualify as English Learners</w:t>
            </w:r>
          </w:p>
          <w:p w:rsidR="00F02794" w:rsidRPr="00F40195" w:rsidRDefault="00F02794" w:rsidP="00F40195">
            <w:pPr>
              <w:widowControl w:val="0"/>
              <w:autoSpaceDE w:val="0"/>
              <w:autoSpaceDN w:val="0"/>
              <w:adjustRightInd w:val="0"/>
              <w:spacing w:after="240"/>
              <w:contextualSpacing/>
              <w:jc w:val="center"/>
              <w:rPr>
                <w:i/>
                <w:iCs/>
              </w:rPr>
            </w:pPr>
            <w:r w:rsidRPr="00F40195">
              <w:rPr>
                <w:bCs/>
                <w:i/>
              </w:rPr>
              <w:t>(National Rank)</w:t>
            </w:r>
          </w:p>
        </w:tc>
      </w:tr>
      <w:tr w:rsidR="00F02794" w:rsidRPr="00F40195" w:rsidTr="009118E4">
        <w:trPr>
          <w:trHeight w:val="432"/>
          <w:jc w:val="center"/>
        </w:trPr>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rPr>
                <w:iCs/>
              </w:rPr>
            </w:pPr>
          </w:p>
        </w:tc>
        <w:tc>
          <w:tcPr>
            <w:tcW w:w="2117"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2006-07</w:t>
            </w:r>
          </w:p>
        </w:tc>
        <w:tc>
          <w:tcPr>
            <w:tcW w:w="2070" w:type="dxa"/>
            <w:tcBorders>
              <w:bottom w:val="single" w:sz="4" w:space="0" w:color="auto"/>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2010-2011</w:t>
            </w:r>
          </w:p>
        </w:tc>
      </w:tr>
      <w:tr w:rsidR="00F02794" w:rsidRPr="00F40195" w:rsidTr="009118E4">
        <w:trPr>
          <w:trHeight w:val="432"/>
          <w:jc w:val="center"/>
        </w:trPr>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National</w:t>
            </w:r>
          </w:p>
        </w:tc>
        <w:tc>
          <w:tcPr>
            <w:tcW w:w="2117" w:type="dxa"/>
            <w:tcBorders>
              <w:bottom w:val="thinThickSmallGap" w:sz="24" w:space="0" w:color="auto"/>
            </w:tcBorders>
            <w:vAlign w:val="center"/>
          </w:tcPr>
          <w:p w:rsidR="00F02794" w:rsidRPr="00F40195" w:rsidRDefault="00F02794" w:rsidP="00F40195">
            <w:pPr>
              <w:contextualSpacing/>
              <w:jc w:val="center"/>
              <w:rPr>
                <w:color w:val="000000"/>
              </w:rPr>
            </w:pPr>
            <w:r w:rsidRPr="00F40195">
              <w:rPr>
                <w:color w:val="000000"/>
              </w:rPr>
              <w:t>8.8%</w:t>
            </w:r>
          </w:p>
        </w:tc>
        <w:tc>
          <w:tcPr>
            <w:tcW w:w="2070" w:type="dxa"/>
            <w:tcBorders>
              <w:bottom w:val="thinThickSmallGap" w:sz="24" w:space="0" w:color="auto"/>
              <w:right w:val="single" w:sz="4" w:space="0" w:color="auto"/>
            </w:tcBorders>
            <w:vAlign w:val="center"/>
          </w:tcPr>
          <w:p w:rsidR="00F02794" w:rsidRPr="00F40195" w:rsidRDefault="00F02794" w:rsidP="00F40195">
            <w:pPr>
              <w:contextualSpacing/>
              <w:jc w:val="center"/>
            </w:pPr>
            <w:r w:rsidRPr="00F40195">
              <w:t>9.8%</w:t>
            </w:r>
          </w:p>
        </w:tc>
      </w:tr>
      <w:tr w:rsidR="00AF0DE1" w:rsidRPr="00F40195" w:rsidTr="009118E4">
        <w:trPr>
          <w:trHeight w:val="432"/>
          <w:jc w:val="center"/>
        </w:trPr>
        <w:tc>
          <w:tcPr>
            <w:tcW w:w="1771" w:type="dxa"/>
            <w:tcBorders>
              <w:bottom w:val="thinThickSmallGap" w:sz="24" w:space="0" w:color="auto"/>
            </w:tcBorders>
            <w:vAlign w:val="center"/>
          </w:tcPr>
          <w:p w:rsidR="00AF0DE1" w:rsidRPr="00F40195" w:rsidRDefault="00AF0DE1" w:rsidP="00F40195">
            <w:pPr>
              <w:widowControl w:val="0"/>
              <w:autoSpaceDE w:val="0"/>
              <w:autoSpaceDN w:val="0"/>
              <w:adjustRightInd w:val="0"/>
              <w:spacing w:after="240"/>
              <w:contextualSpacing/>
              <w:jc w:val="center"/>
              <w:rPr>
                <w:iCs/>
              </w:rPr>
            </w:pPr>
            <w:r>
              <w:rPr>
                <w:iCs/>
              </w:rPr>
              <w:t>Comparative States</w:t>
            </w:r>
          </w:p>
        </w:tc>
        <w:tc>
          <w:tcPr>
            <w:tcW w:w="2117" w:type="dxa"/>
            <w:tcBorders>
              <w:bottom w:val="thinThickSmallGap" w:sz="24" w:space="0" w:color="auto"/>
            </w:tcBorders>
            <w:vAlign w:val="center"/>
          </w:tcPr>
          <w:p w:rsidR="00AF0DE1" w:rsidRPr="00F40195" w:rsidRDefault="00AF0DE1" w:rsidP="00F40195">
            <w:pPr>
              <w:contextualSpacing/>
              <w:jc w:val="center"/>
              <w:rPr>
                <w:color w:val="000000"/>
              </w:rPr>
            </w:pPr>
            <w:r>
              <w:rPr>
                <w:color w:val="000000"/>
              </w:rPr>
              <w:t>2.5%</w:t>
            </w:r>
          </w:p>
        </w:tc>
        <w:tc>
          <w:tcPr>
            <w:tcW w:w="2070" w:type="dxa"/>
            <w:tcBorders>
              <w:bottom w:val="thinThickSmallGap" w:sz="24" w:space="0" w:color="auto"/>
              <w:right w:val="single" w:sz="4" w:space="0" w:color="auto"/>
            </w:tcBorders>
            <w:vAlign w:val="center"/>
          </w:tcPr>
          <w:p w:rsidR="00AF0DE1" w:rsidRPr="00F40195" w:rsidRDefault="00AF0DE1" w:rsidP="00F40195">
            <w:pPr>
              <w:contextualSpacing/>
              <w:jc w:val="center"/>
            </w:pPr>
            <w:r>
              <w:t>3.0%</w:t>
            </w:r>
          </w:p>
        </w:tc>
      </w:tr>
      <w:tr w:rsidR="00F02794" w:rsidRPr="00F40195" w:rsidTr="009118E4">
        <w:trPr>
          <w:trHeight w:val="432"/>
          <w:jc w:val="center"/>
        </w:trPr>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Kentucky</w:t>
            </w:r>
          </w:p>
        </w:tc>
        <w:tc>
          <w:tcPr>
            <w:tcW w:w="2117"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1.7% (46)</w:t>
            </w:r>
          </w:p>
        </w:tc>
        <w:tc>
          <w:tcPr>
            <w:tcW w:w="2070" w:type="dxa"/>
            <w:tcBorders>
              <w:top w:val="thinThickSmallGap" w:sz="24" w:space="0" w:color="auto"/>
              <w:right w:val="single" w:sz="4" w:space="0" w:color="auto"/>
            </w:tcBorders>
            <w:shd w:val="clear" w:color="auto" w:fill="BFBFBF" w:themeFill="background1" w:themeFillShade="BF"/>
            <w:vAlign w:val="center"/>
          </w:tcPr>
          <w:p w:rsidR="00F02794" w:rsidRPr="00F40195" w:rsidRDefault="00F02794" w:rsidP="00F40195">
            <w:pPr>
              <w:contextualSpacing/>
              <w:jc w:val="right"/>
            </w:pPr>
            <w:r w:rsidRPr="00F40195">
              <w:t>2.4% (42)</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Alabama</w:t>
            </w:r>
          </w:p>
        </w:tc>
        <w:tc>
          <w:tcPr>
            <w:tcW w:w="2117" w:type="dxa"/>
            <w:vAlign w:val="center"/>
          </w:tcPr>
          <w:p w:rsidR="00F02794" w:rsidRPr="00F40195" w:rsidRDefault="00F02794" w:rsidP="00F40195">
            <w:pPr>
              <w:contextualSpacing/>
              <w:jc w:val="right"/>
              <w:rPr>
                <w:color w:val="000000"/>
              </w:rPr>
            </w:pPr>
            <w:r w:rsidRPr="00F40195">
              <w:rPr>
                <w:color w:val="000000"/>
              </w:rPr>
              <w:t>2.5% (41)</w:t>
            </w:r>
          </w:p>
        </w:tc>
        <w:tc>
          <w:tcPr>
            <w:tcW w:w="2070" w:type="dxa"/>
            <w:tcBorders>
              <w:right w:val="single" w:sz="4" w:space="0" w:color="auto"/>
            </w:tcBorders>
            <w:vAlign w:val="center"/>
          </w:tcPr>
          <w:p w:rsidR="00F02794" w:rsidRPr="00F40195" w:rsidRDefault="00F02794" w:rsidP="00F40195">
            <w:pPr>
              <w:contextualSpacing/>
              <w:jc w:val="right"/>
            </w:pPr>
            <w:r w:rsidRPr="00F40195">
              <w:t>2.4% (42)</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Arkansas</w:t>
            </w:r>
          </w:p>
        </w:tc>
        <w:tc>
          <w:tcPr>
            <w:tcW w:w="2117" w:type="dxa"/>
            <w:vAlign w:val="center"/>
          </w:tcPr>
          <w:p w:rsidR="00F02794" w:rsidRPr="00F40195" w:rsidRDefault="00F02794" w:rsidP="00F40195">
            <w:pPr>
              <w:contextualSpacing/>
              <w:jc w:val="right"/>
              <w:rPr>
                <w:color w:val="000000"/>
              </w:rPr>
            </w:pPr>
            <w:r w:rsidRPr="00F40195">
              <w:rPr>
                <w:color w:val="000000"/>
              </w:rPr>
              <w:t>4.9% (27)</w:t>
            </w:r>
          </w:p>
        </w:tc>
        <w:tc>
          <w:tcPr>
            <w:tcW w:w="2070" w:type="dxa"/>
            <w:tcBorders>
              <w:right w:val="single" w:sz="4" w:space="0" w:color="auto"/>
            </w:tcBorders>
            <w:vAlign w:val="center"/>
          </w:tcPr>
          <w:p w:rsidR="00F02794" w:rsidRPr="00F40195" w:rsidRDefault="00F02794" w:rsidP="00F40195">
            <w:pPr>
              <w:contextualSpacing/>
              <w:jc w:val="right"/>
            </w:pPr>
            <w:r w:rsidRPr="00F40195">
              <w:t>6.6% (21)</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Indiana</w:t>
            </w:r>
          </w:p>
        </w:tc>
        <w:tc>
          <w:tcPr>
            <w:tcW w:w="2117" w:type="dxa"/>
            <w:vAlign w:val="center"/>
          </w:tcPr>
          <w:p w:rsidR="00F02794" w:rsidRPr="00F40195" w:rsidRDefault="00F02794" w:rsidP="00F40195">
            <w:pPr>
              <w:contextualSpacing/>
              <w:jc w:val="right"/>
              <w:rPr>
                <w:color w:val="000000"/>
              </w:rPr>
            </w:pPr>
            <w:r w:rsidRPr="00F40195">
              <w:rPr>
                <w:color w:val="000000"/>
              </w:rPr>
              <w:t>4.1% (36)</w:t>
            </w:r>
          </w:p>
        </w:tc>
        <w:tc>
          <w:tcPr>
            <w:tcW w:w="2070" w:type="dxa"/>
            <w:tcBorders>
              <w:right w:val="single" w:sz="4" w:space="0" w:color="auto"/>
            </w:tcBorders>
            <w:vAlign w:val="center"/>
          </w:tcPr>
          <w:p w:rsidR="00F02794" w:rsidRPr="00F40195" w:rsidRDefault="00F02794" w:rsidP="00F40195">
            <w:pPr>
              <w:contextualSpacing/>
              <w:jc w:val="right"/>
            </w:pPr>
            <w:r w:rsidRPr="00F40195">
              <w:t>4.7% (32)</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Missouri</w:t>
            </w:r>
          </w:p>
        </w:tc>
        <w:tc>
          <w:tcPr>
            <w:tcW w:w="2117" w:type="dxa"/>
            <w:vAlign w:val="center"/>
          </w:tcPr>
          <w:p w:rsidR="00F02794" w:rsidRPr="00F40195" w:rsidRDefault="00F02794" w:rsidP="00F40195">
            <w:pPr>
              <w:contextualSpacing/>
              <w:jc w:val="right"/>
              <w:rPr>
                <w:color w:val="000000"/>
              </w:rPr>
            </w:pPr>
            <w:r w:rsidRPr="00F40195">
              <w:rPr>
                <w:color w:val="000000"/>
              </w:rPr>
              <w:t>1.9% (43)</w:t>
            </w:r>
          </w:p>
        </w:tc>
        <w:tc>
          <w:tcPr>
            <w:tcW w:w="2070" w:type="dxa"/>
            <w:tcBorders>
              <w:right w:val="single" w:sz="4" w:space="0" w:color="auto"/>
            </w:tcBorders>
            <w:vAlign w:val="center"/>
          </w:tcPr>
          <w:p w:rsidR="00F02794" w:rsidRPr="00F40195" w:rsidRDefault="00F02794" w:rsidP="00F40195">
            <w:pPr>
              <w:contextualSpacing/>
              <w:jc w:val="right"/>
            </w:pPr>
            <w:r w:rsidRPr="00F40195">
              <w:t>2.3% (45)</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Ohio</w:t>
            </w:r>
          </w:p>
        </w:tc>
        <w:tc>
          <w:tcPr>
            <w:tcW w:w="2117" w:type="dxa"/>
            <w:vAlign w:val="center"/>
          </w:tcPr>
          <w:p w:rsidR="00F02794" w:rsidRPr="00F40195" w:rsidRDefault="00F02794" w:rsidP="00F40195">
            <w:pPr>
              <w:contextualSpacing/>
              <w:jc w:val="right"/>
              <w:rPr>
                <w:color w:val="000000"/>
              </w:rPr>
            </w:pPr>
            <w:r w:rsidRPr="00F40195">
              <w:rPr>
                <w:color w:val="000000"/>
              </w:rPr>
              <w:t>1.6% (47)</w:t>
            </w:r>
          </w:p>
        </w:tc>
        <w:tc>
          <w:tcPr>
            <w:tcW w:w="2070" w:type="dxa"/>
            <w:tcBorders>
              <w:right w:val="single" w:sz="4" w:space="0" w:color="auto"/>
            </w:tcBorders>
            <w:vAlign w:val="center"/>
          </w:tcPr>
          <w:p w:rsidR="00F02794" w:rsidRPr="00F40195" w:rsidRDefault="00F02794" w:rsidP="00F40195">
            <w:pPr>
              <w:contextualSpacing/>
              <w:jc w:val="right"/>
            </w:pPr>
            <w:r w:rsidRPr="00F40195">
              <w:t>2.1% (46)</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Tennessee</w:t>
            </w:r>
          </w:p>
        </w:tc>
        <w:tc>
          <w:tcPr>
            <w:tcW w:w="2117" w:type="dxa"/>
            <w:vAlign w:val="center"/>
          </w:tcPr>
          <w:p w:rsidR="00F02794" w:rsidRPr="00F40195" w:rsidRDefault="00F02794" w:rsidP="00F40195">
            <w:pPr>
              <w:contextualSpacing/>
              <w:jc w:val="right"/>
              <w:rPr>
                <w:color w:val="000000"/>
              </w:rPr>
            </w:pPr>
            <w:r w:rsidRPr="00F40195">
              <w:rPr>
                <w:color w:val="000000"/>
              </w:rPr>
              <w:t>3.0% (39)</w:t>
            </w:r>
          </w:p>
        </w:tc>
        <w:tc>
          <w:tcPr>
            <w:tcW w:w="2070" w:type="dxa"/>
            <w:tcBorders>
              <w:right w:val="single" w:sz="4" w:space="0" w:color="auto"/>
            </w:tcBorders>
            <w:vAlign w:val="center"/>
          </w:tcPr>
          <w:p w:rsidR="00F02794" w:rsidRPr="00F40195" w:rsidRDefault="00F02794" w:rsidP="00F40195">
            <w:pPr>
              <w:contextualSpacing/>
              <w:jc w:val="right"/>
            </w:pPr>
            <w:r w:rsidRPr="00F40195">
              <w:t>3.0% (37)</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West Virginia</w:t>
            </w:r>
          </w:p>
        </w:tc>
        <w:tc>
          <w:tcPr>
            <w:tcW w:w="2117" w:type="dxa"/>
            <w:vAlign w:val="center"/>
          </w:tcPr>
          <w:p w:rsidR="00F02794" w:rsidRPr="00F40195" w:rsidRDefault="00F02794" w:rsidP="00F40195">
            <w:pPr>
              <w:contextualSpacing/>
              <w:jc w:val="right"/>
              <w:rPr>
                <w:color w:val="000000"/>
              </w:rPr>
            </w:pPr>
            <w:r w:rsidRPr="00F40195">
              <w:rPr>
                <w:color w:val="000000"/>
              </w:rPr>
              <w:t>0.8% (51)</w:t>
            </w:r>
          </w:p>
        </w:tc>
        <w:tc>
          <w:tcPr>
            <w:tcW w:w="2070" w:type="dxa"/>
            <w:tcBorders>
              <w:right w:val="single" w:sz="4" w:space="0" w:color="auto"/>
            </w:tcBorders>
            <w:vAlign w:val="center"/>
          </w:tcPr>
          <w:p w:rsidR="00F02794" w:rsidRPr="00F40195" w:rsidRDefault="00F02794" w:rsidP="00F40195">
            <w:pPr>
              <w:contextualSpacing/>
              <w:jc w:val="right"/>
            </w:pPr>
            <w:r w:rsidRPr="00F40195">
              <w:t>0.6% (51)</w:t>
            </w:r>
          </w:p>
        </w:tc>
      </w:tr>
    </w:tbl>
    <w:p w:rsidR="00F02794" w:rsidRPr="009118E4" w:rsidRDefault="00F02794" w:rsidP="009118E4">
      <w:pPr>
        <w:widowControl w:val="0"/>
        <w:autoSpaceDE w:val="0"/>
        <w:autoSpaceDN w:val="0"/>
        <w:adjustRightInd w:val="0"/>
        <w:spacing w:after="240" w:line="240" w:lineRule="auto"/>
        <w:ind w:left="1440" w:firstLine="720"/>
        <w:rPr>
          <w:rFonts w:cs="Times New Roman"/>
          <w:bCs/>
          <w:sz w:val="22"/>
        </w:rPr>
      </w:pPr>
      <w:r w:rsidRPr="009118E4">
        <w:rPr>
          <w:rFonts w:cs="Times New Roman"/>
          <w:bCs/>
          <w:sz w:val="22"/>
        </w:rPr>
        <w:t>Source: U.S. Department of Education</w:t>
      </w:r>
      <w:r w:rsidR="007D2507">
        <w:rPr>
          <w:rFonts w:cs="Times New Roman"/>
          <w:bCs/>
          <w:sz w:val="22"/>
        </w:rPr>
        <w:t xml:space="preserve"> (2014)</w:t>
      </w:r>
    </w:p>
    <w:p w:rsidR="00F02794" w:rsidRPr="00F40195" w:rsidRDefault="00F02794" w:rsidP="008D674A">
      <w:pPr>
        <w:pStyle w:val="Heading3"/>
      </w:pPr>
      <w:bookmarkStart w:id="51" w:name="_Toc385250718"/>
      <w:bookmarkStart w:id="52" w:name="_Toc395180660"/>
      <w:r w:rsidRPr="00F40195">
        <w:t>Special Education Student Population</w:t>
      </w:r>
      <w:bookmarkEnd w:id="51"/>
      <w:bookmarkEnd w:id="52"/>
    </w:p>
    <w:p w:rsidR="00F02794" w:rsidRPr="00F40195" w:rsidRDefault="00F02794" w:rsidP="00F40195">
      <w:pPr>
        <w:widowControl w:val="0"/>
        <w:autoSpaceDE w:val="0"/>
        <w:autoSpaceDN w:val="0"/>
        <w:adjustRightInd w:val="0"/>
        <w:spacing w:after="240" w:line="240" w:lineRule="auto"/>
        <w:rPr>
          <w:rFonts w:cs="Times New Roman"/>
          <w:bCs/>
        </w:rPr>
      </w:pPr>
      <w:r w:rsidRPr="00F40195">
        <w:rPr>
          <w:rFonts w:cs="Times New Roman"/>
          <w:bCs/>
        </w:rPr>
        <w:t xml:space="preserve">Between 2007-08 and 2011-12 the percentage of students in Kentucky who qualify for special education services under the federal </w:t>
      </w:r>
      <w:r w:rsidR="00955B79" w:rsidRPr="00F40195">
        <w:rPr>
          <w:rFonts w:cs="Times New Roman"/>
          <w:bCs/>
        </w:rPr>
        <w:t>-</w:t>
      </w:r>
      <w:r w:rsidRPr="00F40195">
        <w:rPr>
          <w:rFonts w:cs="Times New Roman"/>
          <w:bCs/>
        </w:rPr>
        <w:t>part B decreased from 16.4</w:t>
      </w:r>
      <w:r w:rsidR="00553331" w:rsidRPr="00F40195">
        <w:rPr>
          <w:rFonts w:cs="Times New Roman"/>
          <w:bCs/>
        </w:rPr>
        <w:t xml:space="preserve"> percent</w:t>
      </w:r>
      <w:r w:rsidRPr="00F40195">
        <w:rPr>
          <w:rFonts w:cs="Times New Roman"/>
          <w:bCs/>
        </w:rPr>
        <w:t xml:space="preserve"> to 14.7</w:t>
      </w:r>
      <w:r w:rsidR="00553331" w:rsidRPr="00F40195">
        <w:rPr>
          <w:rFonts w:cs="Times New Roman"/>
          <w:bCs/>
        </w:rPr>
        <w:t xml:space="preserve"> percent</w:t>
      </w:r>
      <w:r w:rsidRPr="00F40195">
        <w:rPr>
          <w:rFonts w:cs="Times New Roman"/>
          <w:bCs/>
        </w:rPr>
        <w:t>. This decrease in the special education population mirrors a national trend – during this same time period the number of students qualifying for special education services in the United States decreased from 13.4</w:t>
      </w:r>
      <w:r w:rsidR="00553331" w:rsidRPr="00F40195">
        <w:rPr>
          <w:rFonts w:cs="Times New Roman"/>
          <w:bCs/>
        </w:rPr>
        <w:t xml:space="preserve"> percent</w:t>
      </w:r>
      <w:r w:rsidRPr="00F40195">
        <w:rPr>
          <w:rFonts w:cs="Times New Roman"/>
          <w:bCs/>
        </w:rPr>
        <w:t xml:space="preserve"> to 12.9</w:t>
      </w:r>
      <w:r w:rsidR="00553331" w:rsidRPr="00F40195">
        <w:rPr>
          <w:rFonts w:cs="Times New Roman"/>
          <w:bCs/>
        </w:rPr>
        <w:t xml:space="preserve"> percent</w:t>
      </w:r>
      <w:r w:rsidRPr="00F40195">
        <w:rPr>
          <w:rFonts w:cs="Times New Roman"/>
          <w:bCs/>
        </w:rPr>
        <w:t>.  Even with the decrease the percentage of special education st</w:t>
      </w:r>
      <w:r w:rsidR="004E380C">
        <w:rPr>
          <w:rFonts w:cs="Times New Roman"/>
          <w:bCs/>
        </w:rPr>
        <w:t>udents in Kentucky is still 1.8 percent</w:t>
      </w:r>
      <w:r w:rsidRPr="00F40195">
        <w:rPr>
          <w:rFonts w:cs="Times New Roman"/>
          <w:bCs/>
        </w:rPr>
        <w:t xml:space="preserve"> above the national average. The percentage of students receiving special education services varied in comparative states from a low of 10.6</w:t>
      </w:r>
      <w:r w:rsidR="00553331" w:rsidRPr="00F40195">
        <w:rPr>
          <w:rFonts w:cs="Times New Roman"/>
          <w:bCs/>
        </w:rPr>
        <w:t xml:space="preserve"> percent</w:t>
      </w:r>
      <w:r w:rsidRPr="00F40195">
        <w:rPr>
          <w:rFonts w:cs="Times New Roman"/>
          <w:bCs/>
        </w:rPr>
        <w:t xml:space="preserve"> in Alabama to a high of 15.7</w:t>
      </w:r>
      <w:r w:rsidR="00553331" w:rsidRPr="00F40195">
        <w:rPr>
          <w:rFonts w:cs="Times New Roman"/>
          <w:bCs/>
        </w:rPr>
        <w:t xml:space="preserve"> percent</w:t>
      </w:r>
      <w:r w:rsidRPr="00F40195">
        <w:rPr>
          <w:rFonts w:cs="Times New Roman"/>
          <w:bCs/>
        </w:rPr>
        <w:t xml:space="preserve"> in Indiana and West Virginia.</w:t>
      </w:r>
    </w:p>
    <w:p w:rsidR="00F02794" w:rsidRPr="00F40195" w:rsidRDefault="00F02794" w:rsidP="00F40195">
      <w:pPr>
        <w:spacing w:line="240" w:lineRule="auto"/>
        <w:rPr>
          <w:rFonts w:cs="Times New Roman"/>
          <w:b/>
          <w:bCs/>
        </w:rPr>
      </w:pPr>
      <w:r w:rsidRPr="00F40195">
        <w:rPr>
          <w:rFonts w:cs="Times New Roman"/>
          <w:b/>
          <w:b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 xml:space="preserve">Table </w:t>
      </w:r>
      <w:r w:rsidR="00F02794" w:rsidRPr="00F40195">
        <w:rPr>
          <w:rFonts w:cs="Times New Roman"/>
          <w:b/>
          <w:bCs/>
        </w:rPr>
        <w:t>2.12</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Special Education Students by State</w:t>
      </w:r>
    </w:p>
    <w:p w:rsidR="009118E4" w:rsidRPr="00F40195" w:rsidRDefault="009118E4" w:rsidP="009118E4">
      <w:pPr>
        <w:widowControl w:val="0"/>
        <w:autoSpaceDE w:val="0"/>
        <w:autoSpaceDN w:val="0"/>
        <w:adjustRightInd w:val="0"/>
        <w:spacing w:line="240" w:lineRule="auto"/>
        <w:jc w:val="center"/>
        <w:rPr>
          <w:rFonts w:cs="Times New Roman"/>
          <w:b/>
          <w:bCs/>
        </w:rPr>
      </w:pPr>
    </w:p>
    <w:tbl>
      <w:tblPr>
        <w:tblStyle w:val="TableGrid"/>
        <w:tblW w:w="0" w:type="auto"/>
        <w:jc w:val="center"/>
        <w:tblLook w:val="04A0" w:firstRow="1" w:lastRow="0" w:firstColumn="1" w:lastColumn="0" w:noHBand="0" w:noVBand="1"/>
      </w:tblPr>
      <w:tblGrid>
        <w:gridCol w:w="1771"/>
        <w:gridCol w:w="2297"/>
        <w:gridCol w:w="2340"/>
      </w:tblGrid>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rPr>
                <w:iCs/>
              </w:rPr>
            </w:pPr>
          </w:p>
        </w:tc>
        <w:tc>
          <w:tcPr>
            <w:tcW w:w="4637" w:type="dxa"/>
            <w:gridSpan w:val="2"/>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Percentage of Students Qualifying Under The Federal</w:t>
            </w:r>
          </w:p>
          <w:p w:rsidR="00F02794" w:rsidRPr="00F40195" w:rsidRDefault="00F02794" w:rsidP="00F40195">
            <w:pPr>
              <w:widowControl w:val="0"/>
              <w:autoSpaceDE w:val="0"/>
              <w:autoSpaceDN w:val="0"/>
              <w:adjustRightInd w:val="0"/>
              <w:spacing w:after="240"/>
              <w:contextualSpacing/>
              <w:jc w:val="center"/>
              <w:rPr>
                <w:b/>
                <w:bCs/>
              </w:rPr>
            </w:pPr>
            <w:r w:rsidRPr="00F40195">
              <w:rPr>
                <w:b/>
                <w:bCs/>
              </w:rPr>
              <w:t>Individuals with Disability Act, Part B</w:t>
            </w:r>
          </w:p>
          <w:p w:rsidR="00F02794" w:rsidRPr="00F40195" w:rsidRDefault="00F02794" w:rsidP="00F40195">
            <w:pPr>
              <w:widowControl w:val="0"/>
              <w:autoSpaceDE w:val="0"/>
              <w:autoSpaceDN w:val="0"/>
              <w:adjustRightInd w:val="0"/>
              <w:spacing w:after="240"/>
              <w:contextualSpacing/>
              <w:jc w:val="center"/>
              <w:rPr>
                <w:i/>
                <w:iCs/>
              </w:rPr>
            </w:pPr>
            <w:r w:rsidRPr="00F40195">
              <w:rPr>
                <w:bCs/>
                <w:i/>
              </w:rPr>
              <w:t>(National Rank)</w:t>
            </w:r>
          </w:p>
        </w:tc>
      </w:tr>
      <w:tr w:rsidR="00F02794" w:rsidRPr="00F40195" w:rsidTr="009118E4">
        <w:trPr>
          <w:trHeight w:val="432"/>
          <w:jc w:val="center"/>
        </w:trPr>
        <w:tc>
          <w:tcPr>
            <w:tcW w:w="1771"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rPr>
                <w:iCs/>
              </w:rPr>
            </w:pPr>
          </w:p>
        </w:tc>
        <w:tc>
          <w:tcPr>
            <w:tcW w:w="2297" w:type="dxa"/>
            <w:tcBorders>
              <w:bottom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2007-08</w:t>
            </w:r>
          </w:p>
        </w:tc>
        <w:tc>
          <w:tcPr>
            <w:tcW w:w="2340" w:type="dxa"/>
            <w:tcBorders>
              <w:bottom w:val="single" w:sz="4" w:space="0" w:color="auto"/>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2011-2012</w:t>
            </w:r>
          </w:p>
        </w:tc>
      </w:tr>
      <w:tr w:rsidR="00F02794" w:rsidRPr="00F40195" w:rsidTr="009118E4">
        <w:trPr>
          <w:trHeight w:val="432"/>
          <w:jc w:val="center"/>
        </w:trPr>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rPr>
                <w:iCs/>
              </w:rPr>
            </w:pPr>
            <w:r w:rsidRPr="00F40195">
              <w:rPr>
                <w:iCs/>
              </w:rPr>
              <w:t>National</w:t>
            </w:r>
          </w:p>
        </w:tc>
        <w:tc>
          <w:tcPr>
            <w:tcW w:w="2297" w:type="dxa"/>
            <w:tcBorders>
              <w:bottom w:val="thinThickSmallGap" w:sz="24" w:space="0" w:color="auto"/>
            </w:tcBorders>
            <w:vAlign w:val="center"/>
          </w:tcPr>
          <w:p w:rsidR="00F02794" w:rsidRPr="00F40195" w:rsidRDefault="00F02794" w:rsidP="00F40195">
            <w:pPr>
              <w:contextualSpacing/>
              <w:jc w:val="center"/>
              <w:rPr>
                <w:color w:val="000000"/>
              </w:rPr>
            </w:pPr>
            <w:r w:rsidRPr="00F40195">
              <w:rPr>
                <w:color w:val="000000"/>
              </w:rPr>
              <w:t>13.4%</w:t>
            </w:r>
          </w:p>
        </w:tc>
        <w:tc>
          <w:tcPr>
            <w:tcW w:w="2340" w:type="dxa"/>
            <w:tcBorders>
              <w:bottom w:val="thinThickSmallGap" w:sz="24" w:space="0" w:color="auto"/>
              <w:right w:val="single" w:sz="4" w:space="0" w:color="auto"/>
            </w:tcBorders>
            <w:vAlign w:val="center"/>
          </w:tcPr>
          <w:p w:rsidR="00F02794" w:rsidRPr="00F40195" w:rsidRDefault="00F02794" w:rsidP="00F40195">
            <w:pPr>
              <w:contextualSpacing/>
              <w:jc w:val="center"/>
            </w:pPr>
            <w:r w:rsidRPr="00F40195">
              <w:t>12.9%</w:t>
            </w:r>
          </w:p>
        </w:tc>
      </w:tr>
      <w:tr w:rsidR="007F3682" w:rsidRPr="00F40195" w:rsidTr="009118E4">
        <w:trPr>
          <w:trHeight w:val="432"/>
          <w:jc w:val="center"/>
        </w:trPr>
        <w:tc>
          <w:tcPr>
            <w:tcW w:w="1771" w:type="dxa"/>
            <w:tcBorders>
              <w:bottom w:val="thinThickSmallGap" w:sz="24" w:space="0" w:color="auto"/>
            </w:tcBorders>
            <w:vAlign w:val="center"/>
          </w:tcPr>
          <w:p w:rsidR="007F3682" w:rsidRPr="00F40195" w:rsidRDefault="007F3682" w:rsidP="00F40195">
            <w:pPr>
              <w:widowControl w:val="0"/>
              <w:autoSpaceDE w:val="0"/>
              <w:autoSpaceDN w:val="0"/>
              <w:adjustRightInd w:val="0"/>
              <w:spacing w:after="240"/>
              <w:contextualSpacing/>
              <w:jc w:val="center"/>
              <w:rPr>
                <w:iCs/>
              </w:rPr>
            </w:pPr>
            <w:r>
              <w:rPr>
                <w:iCs/>
              </w:rPr>
              <w:t>Comparative States</w:t>
            </w:r>
          </w:p>
        </w:tc>
        <w:tc>
          <w:tcPr>
            <w:tcW w:w="2297" w:type="dxa"/>
            <w:tcBorders>
              <w:bottom w:val="thinThickSmallGap" w:sz="24" w:space="0" w:color="auto"/>
            </w:tcBorders>
            <w:vAlign w:val="center"/>
          </w:tcPr>
          <w:p w:rsidR="007F3682" w:rsidRPr="00F40195" w:rsidRDefault="007F3682" w:rsidP="00F40195">
            <w:pPr>
              <w:contextualSpacing/>
              <w:jc w:val="center"/>
              <w:rPr>
                <w:color w:val="000000"/>
              </w:rPr>
            </w:pPr>
            <w:r>
              <w:rPr>
                <w:color w:val="000000"/>
              </w:rPr>
              <w:t>14.5%</w:t>
            </w:r>
          </w:p>
        </w:tc>
        <w:tc>
          <w:tcPr>
            <w:tcW w:w="2340" w:type="dxa"/>
            <w:tcBorders>
              <w:bottom w:val="thinThickSmallGap" w:sz="24" w:space="0" w:color="auto"/>
              <w:right w:val="single" w:sz="4" w:space="0" w:color="auto"/>
            </w:tcBorders>
            <w:vAlign w:val="center"/>
          </w:tcPr>
          <w:p w:rsidR="007F3682" w:rsidRPr="00F40195" w:rsidRDefault="007F3682" w:rsidP="00F40195">
            <w:pPr>
              <w:contextualSpacing/>
              <w:jc w:val="center"/>
            </w:pPr>
            <w:r>
              <w:t>13.9%</w:t>
            </w:r>
          </w:p>
        </w:tc>
      </w:tr>
      <w:tr w:rsidR="00F02794" w:rsidRPr="00F40195" w:rsidTr="009118E4">
        <w:trPr>
          <w:trHeight w:val="432"/>
          <w:jc w:val="center"/>
        </w:trPr>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Kentucky</w:t>
            </w:r>
          </w:p>
        </w:tc>
        <w:tc>
          <w:tcPr>
            <w:tcW w:w="2297" w:type="dxa"/>
            <w:tcBorders>
              <w:top w:val="thinThickSmallGap" w:sz="24" w:space="0" w:color="auto"/>
            </w:tcBorders>
            <w:shd w:val="clear" w:color="auto" w:fill="BFBFBF" w:themeFill="background1" w:themeFillShade="BF"/>
            <w:vAlign w:val="center"/>
          </w:tcPr>
          <w:p w:rsidR="00F02794" w:rsidRPr="00F40195" w:rsidRDefault="00F02794" w:rsidP="00F40195">
            <w:pPr>
              <w:contextualSpacing/>
              <w:jc w:val="right"/>
              <w:rPr>
                <w:color w:val="000000"/>
              </w:rPr>
            </w:pPr>
            <w:r w:rsidRPr="00F40195">
              <w:rPr>
                <w:color w:val="000000"/>
              </w:rPr>
              <w:t>16.4% (9)</w:t>
            </w:r>
          </w:p>
        </w:tc>
        <w:tc>
          <w:tcPr>
            <w:tcW w:w="2340" w:type="dxa"/>
            <w:tcBorders>
              <w:top w:val="thinThickSmallGap" w:sz="24" w:space="0" w:color="auto"/>
              <w:right w:val="single" w:sz="4" w:space="0" w:color="auto"/>
            </w:tcBorders>
            <w:shd w:val="clear" w:color="auto" w:fill="BFBFBF" w:themeFill="background1" w:themeFillShade="BF"/>
            <w:vAlign w:val="center"/>
          </w:tcPr>
          <w:p w:rsidR="00F02794" w:rsidRPr="00F40195" w:rsidRDefault="00F02794" w:rsidP="00F40195">
            <w:pPr>
              <w:contextualSpacing/>
              <w:jc w:val="right"/>
            </w:pPr>
            <w:r w:rsidRPr="00F40195">
              <w:t>14.7% (15)</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Alabama</w:t>
            </w:r>
          </w:p>
        </w:tc>
        <w:tc>
          <w:tcPr>
            <w:tcW w:w="2297" w:type="dxa"/>
            <w:vAlign w:val="center"/>
          </w:tcPr>
          <w:p w:rsidR="00F02794" w:rsidRPr="00F40195" w:rsidRDefault="00F02794" w:rsidP="00F40195">
            <w:pPr>
              <w:contextualSpacing/>
              <w:jc w:val="right"/>
              <w:rPr>
                <w:color w:val="000000"/>
              </w:rPr>
            </w:pPr>
            <w:r w:rsidRPr="00F40195">
              <w:rPr>
                <w:color w:val="000000"/>
              </w:rPr>
              <w:t>11.4% (43)</w:t>
            </w:r>
          </w:p>
        </w:tc>
        <w:tc>
          <w:tcPr>
            <w:tcW w:w="2340" w:type="dxa"/>
            <w:tcBorders>
              <w:right w:val="single" w:sz="4" w:space="0" w:color="auto"/>
            </w:tcBorders>
            <w:vAlign w:val="center"/>
          </w:tcPr>
          <w:p w:rsidR="00F02794" w:rsidRPr="00F40195" w:rsidRDefault="00F02794" w:rsidP="00F40195">
            <w:pPr>
              <w:contextualSpacing/>
              <w:jc w:val="right"/>
            </w:pPr>
            <w:r w:rsidRPr="00F40195">
              <w:t>10.6% (48)</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Arkansas</w:t>
            </w:r>
          </w:p>
        </w:tc>
        <w:tc>
          <w:tcPr>
            <w:tcW w:w="2297" w:type="dxa"/>
            <w:vAlign w:val="center"/>
          </w:tcPr>
          <w:p w:rsidR="00F02794" w:rsidRPr="00F40195" w:rsidRDefault="00F02794" w:rsidP="00F40195">
            <w:pPr>
              <w:contextualSpacing/>
              <w:jc w:val="right"/>
              <w:rPr>
                <w:color w:val="000000"/>
              </w:rPr>
            </w:pPr>
            <w:r w:rsidRPr="00F40195">
              <w:rPr>
                <w:color w:val="000000"/>
              </w:rPr>
              <w:t>13.8% (30)</w:t>
            </w:r>
          </w:p>
        </w:tc>
        <w:tc>
          <w:tcPr>
            <w:tcW w:w="2340" w:type="dxa"/>
            <w:tcBorders>
              <w:right w:val="single" w:sz="4" w:space="0" w:color="auto"/>
            </w:tcBorders>
            <w:vAlign w:val="center"/>
          </w:tcPr>
          <w:p w:rsidR="00F02794" w:rsidRPr="00F40195" w:rsidRDefault="00F02794" w:rsidP="00F40195">
            <w:pPr>
              <w:contextualSpacing/>
              <w:jc w:val="right"/>
            </w:pPr>
            <w:r w:rsidRPr="00F40195">
              <w:t>13.4% (31)</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Indiana</w:t>
            </w:r>
          </w:p>
        </w:tc>
        <w:tc>
          <w:tcPr>
            <w:tcW w:w="2297" w:type="dxa"/>
            <w:vAlign w:val="center"/>
          </w:tcPr>
          <w:p w:rsidR="00F02794" w:rsidRPr="00F40195" w:rsidRDefault="00F02794" w:rsidP="00F40195">
            <w:pPr>
              <w:contextualSpacing/>
              <w:jc w:val="right"/>
              <w:rPr>
                <w:color w:val="000000"/>
              </w:rPr>
            </w:pPr>
            <w:r w:rsidRPr="00F40195">
              <w:rPr>
                <w:color w:val="000000"/>
              </w:rPr>
              <w:t>17.1% (</w:t>
            </w:r>
            <w:r w:rsidR="005552E0" w:rsidRPr="00F40195">
              <w:rPr>
                <w:color w:val="000000"/>
              </w:rPr>
              <w:t>0</w:t>
            </w:r>
            <w:r w:rsidRPr="00F40195">
              <w:rPr>
                <w:color w:val="000000"/>
              </w:rPr>
              <w:t>5)</w:t>
            </w:r>
          </w:p>
        </w:tc>
        <w:tc>
          <w:tcPr>
            <w:tcW w:w="2340" w:type="dxa"/>
            <w:tcBorders>
              <w:right w:val="single" w:sz="4" w:space="0" w:color="auto"/>
            </w:tcBorders>
            <w:vAlign w:val="center"/>
          </w:tcPr>
          <w:p w:rsidR="00F02794" w:rsidRPr="00F40195" w:rsidRDefault="00F02794" w:rsidP="00F40195">
            <w:pPr>
              <w:contextualSpacing/>
              <w:jc w:val="right"/>
            </w:pPr>
            <w:r w:rsidRPr="00F40195">
              <w:t>15.7% (</w:t>
            </w:r>
            <w:r w:rsidR="005552E0" w:rsidRPr="00F40195">
              <w:t>0</w:t>
            </w:r>
            <w:r w:rsidRPr="00F40195">
              <w:t>9)</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Missouri</w:t>
            </w:r>
          </w:p>
        </w:tc>
        <w:tc>
          <w:tcPr>
            <w:tcW w:w="2297" w:type="dxa"/>
            <w:vAlign w:val="center"/>
          </w:tcPr>
          <w:p w:rsidR="00F02794" w:rsidRPr="00F40195" w:rsidRDefault="00F02794" w:rsidP="00F40195">
            <w:pPr>
              <w:contextualSpacing/>
              <w:jc w:val="right"/>
              <w:rPr>
                <w:color w:val="000000"/>
              </w:rPr>
            </w:pPr>
            <w:r w:rsidRPr="00F40195">
              <w:rPr>
                <w:color w:val="000000"/>
              </w:rPr>
              <w:t>15.1% (15)</w:t>
            </w:r>
          </w:p>
        </w:tc>
        <w:tc>
          <w:tcPr>
            <w:tcW w:w="2340" w:type="dxa"/>
            <w:tcBorders>
              <w:right w:val="single" w:sz="4" w:space="0" w:color="auto"/>
            </w:tcBorders>
            <w:vAlign w:val="center"/>
          </w:tcPr>
          <w:p w:rsidR="00F02794" w:rsidRPr="00F40195" w:rsidRDefault="00F02794" w:rsidP="00F40195">
            <w:pPr>
              <w:contextualSpacing/>
              <w:jc w:val="right"/>
            </w:pPr>
            <w:r w:rsidRPr="00F40195">
              <w:t>13.6% (26)</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Ohio</w:t>
            </w:r>
          </w:p>
        </w:tc>
        <w:tc>
          <w:tcPr>
            <w:tcW w:w="2297" w:type="dxa"/>
            <w:vAlign w:val="center"/>
          </w:tcPr>
          <w:p w:rsidR="00F02794" w:rsidRPr="00F40195" w:rsidRDefault="00F02794" w:rsidP="00F40195">
            <w:pPr>
              <w:contextualSpacing/>
              <w:jc w:val="right"/>
              <w:rPr>
                <w:color w:val="000000"/>
              </w:rPr>
            </w:pPr>
            <w:r w:rsidRPr="00F40195">
              <w:rPr>
                <w:color w:val="000000"/>
              </w:rPr>
              <w:t>14.8% (18)</w:t>
            </w:r>
          </w:p>
        </w:tc>
        <w:tc>
          <w:tcPr>
            <w:tcW w:w="2340" w:type="dxa"/>
            <w:tcBorders>
              <w:right w:val="single" w:sz="4" w:space="0" w:color="auto"/>
            </w:tcBorders>
            <w:vAlign w:val="center"/>
          </w:tcPr>
          <w:p w:rsidR="00F02794" w:rsidRPr="00F40195" w:rsidRDefault="00F02794" w:rsidP="00F40195">
            <w:pPr>
              <w:contextualSpacing/>
              <w:jc w:val="right"/>
            </w:pPr>
            <w:r w:rsidRPr="00F40195">
              <w:t>14.9% (14)</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Tennessee</w:t>
            </w:r>
          </w:p>
        </w:tc>
        <w:tc>
          <w:tcPr>
            <w:tcW w:w="2297" w:type="dxa"/>
            <w:vAlign w:val="center"/>
          </w:tcPr>
          <w:p w:rsidR="00F02794" w:rsidRPr="00F40195" w:rsidRDefault="00F02794" w:rsidP="00F40195">
            <w:pPr>
              <w:contextualSpacing/>
              <w:jc w:val="right"/>
              <w:rPr>
                <w:color w:val="000000"/>
              </w:rPr>
            </w:pPr>
            <w:r w:rsidRPr="00F40195">
              <w:rPr>
                <w:color w:val="000000"/>
              </w:rPr>
              <w:t>12.5% (37)</w:t>
            </w:r>
          </w:p>
        </w:tc>
        <w:tc>
          <w:tcPr>
            <w:tcW w:w="2340" w:type="dxa"/>
            <w:tcBorders>
              <w:right w:val="single" w:sz="4" w:space="0" w:color="auto"/>
            </w:tcBorders>
            <w:vAlign w:val="center"/>
          </w:tcPr>
          <w:p w:rsidR="00F02794" w:rsidRPr="00F40195" w:rsidRDefault="00F02794" w:rsidP="00F40195">
            <w:pPr>
              <w:contextualSpacing/>
              <w:jc w:val="right"/>
            </w:pPr>
            <w:r w:rsidRPr="00F40195">
              <w:t>12.6% (36)</w:t>
            </w:r>
          </w:p>
        </w:tc>
      </w:tr>
      <w:tr w:rsidR="00F02794" w:rsidRPr="00F40195" w:rsidTr="009118E4">
        <w:trPr>
          <w:trHeight w:val="432"/>
          <w:jc w:val="center"/>
        </w:trPr>
        <w:tc>
          <w:tcPr>
            <w:tcW w:w="1771" w:type="dxa"/>
            <w:vAlign w:val="center"/>
          </w:tcPr>
          <w:p w:rsidR="00F02794" w:rsidRPr="00F40195" w:rsidRDefault="00F02794" w:rsidP="00F40195">
            <w:pPr>
              <w:widowControl w:val="0"/>
              <w:autoSpaceDE w:val="0"/>
              <w:autoSpaceDN w:val="0"/>
              <w:adjustRightInd w:val="0"/>
              <w:spacing w:after="240"/>
              <w:contextualSpacing/>
              <w:jc w:val="center"/>
              <w:rPr>
                <w:b/>
                <w:iCs/>
              </w:rPr>
            </w:pPr>
            <w:r w:rsidRPr="00F40195">
              <w:t>West Virginia</w:t>
            </w:r>
          </w:p>
        </w:tc>
        <w:tc>
          <w:tcPr>
            <w:tcW w:w="2297" w:type="dxa"/>
            <w:vAlign w:val="center"/>
          </w:tcPr>
          <w:p w:rsidR="00F02794" w:rsidRPr="00F40195" w:rsidRDefault="00F02794" w:rsidP="00F40195">
            <w:pPr>
              <w:contextualSpacing/>
              <w:jc w:val="right"/>
              <w:rPr>
                <w:color w:val="000000"/>
              </w:rPr>
            </w:pPr>
            <w:r w:rsidRPr="00F40195">
              <w:rPr>
                <w:color w:val="000000"/>
              </w:rPr>
              <w:t>16.9% (</w:t>
            </w:r>
            <w:r w:rsidR="005552E0" w:rsidRPr="00F40195">
              <w:rPr>
                <w:color w:val="000000"/>
              </w:rPr>
              <w:t>0</w:t>
            </w:r>
            <w:r w:rsidRPr="00F40195">
              <w:rPr>
                <w:color w:val="000000"/>
              </w:rPr>
              <w:t>6)</w:t>
            </w:r>
          </w:p>
        </w:tc>
        <w:tc>
          <w:tcPr>
            <w:tcW w:w="2340" w:type="dxa"/>
            <w:tcBorders>
              <w:right w:val="single" w:sz="4" w:space="0" w:color="auto"/>
            </w:tcBorders>
            <w:vAlign w:val="center"/>
          </w:tcPr>
          <w:p w:rsidR="00F02794" w:rsidRPr="00F40195" w:rsidRDefault="00F02794" w:rsidP="00F40195">
            <w:pPr>
              <w:contextualSpacing/>
              <w:jc w:val="right"/>
            </w:pPr>
            <w:r w:rsidRPr="00F40195">
              <w:t>15.7% (</w:t>
            </w:r>
            <w:r w:rsidR="005552E0" w:rsidRPr="00F40195">
              <w:t>0</w:t>
            </w:r>
            <w:r w:rsidRPr="00F40195">
              <w:t>9)</w:t>
            </w:r>
          </w:p>
        </w:tc>
      </w:tr>
    </w:tbl>
    <w:p w:rsidR="00F02794" w:rsidRPr="009118E4" w:rsidRDefault="00F02794" w:rsidP="009118E4">
      <w:pPr>
        <w:widowControl w:val="0"/>
        <w:autoSpaceDE w:val="0"/>
        <w:autoSpaceDN w:val="0"/>
        <w:adjustRightInd w:val="0"/>
        <w:spacing w:after="240" w:line="240" w:lineRule="auto"/>
        <w:ind w:left="720" w:firstLine="720"/>
        <w:rPr>
          <w:rFonts w:cs="Times New Roman"/>
          <w:bCs/>
          <w:sz w:val="22"/>
        </w:rPr>
      </w:pPr>
      <w:r w:rsidRPr="009118E4">
        <w:rPr>
          <w:rFonts w:cs="Times New Roman"/>
          <w:bCs/>
          <w:sz w:val="22"/>
        </w:rPr>
        <w:t>Source: U.S. Department of Education</w:t>
      </w:r>
    </w:p>
    <w:p w:rsidR="00F02794" w:rsidRPr="00F40195" w:rsidRDefault="00F02794" w:rsidP="008D674A">
      <w:pPr>
        <w:pStyle w:val="Heading3"/>
      </w:pPr>
      <w:bookmarkStart w:id="53" w:name="_Toc385250719"/>
      <w:bookmarkStart w:id="54" w:name="_Toc395180661"/>
      <w:r w:rsidRPr="00F40195">
        <w:t>Teachers</w:t>
      </w:r>
      <w:bookmarkEnd w:id="53"/>
      <w:bookmarkEnd w:id="54"/>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Data collected by </w:t>
      </w:r>
      <w:r w:rsidR="002D014C">
        <w:rPr>
          <w:rFonts w:cs="Times New Roman"/>
        </w:rPr>
        <w:t>NCES</w:t>
      </w:r>
      <w:r w:rsidRPr="00F40195">
        <w:rPr>
          <w:rFonts w:cs="Times New Roman"/>
        </w:rPr>
        <w:t xml:space="preserve"> show that employee salaries and benefits account for just over 80</w:t>
      </w:r>
      <w:r w:rsidR="005552E0" w:rsidRPr="00F40195">
        <w:rPr>
          <w:rFonts w:cs="Times New Roman"/>
        </w:rPr>
        <w:t xml:space="preserve"> percent</w:t>
      </w:r>
      <w:r w:rsidRPr="00F40195">
        <w:rPr>
          <w:rFonts w:cs="Times New Roman"/>
        </w:rPr>
        <w:t xml:space="preserve"> of all public school expenditures. The majority of these salary and benefit expenses can be traced to teacher salaries. Consequently, increases in teacher pay and/or increases in the number of teachers employed in a state can drive up total educational expenditures. </w:t>
      </w:r>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In 2012-13, the average teacher salary in Kentucky was </w:t>
      </w:r>
      <w:r w:rsidR="00A541EA">
        <w:rPr>
          <w:rFonts w:cs="Times New Roman"/>
        </w:rPr>
        <w:t xml:space="preserve">$50,326, which was $6,057 (10.7 </w:t>
      </w:r>
      <w:proofErr w:type="gramStart"/>
      <w:r w:rsidR="00A541EA">
        <w:rPr>
          <w:rFonts w:cs="Times New Roman"/>
        </w:rPr>
        <w:t>percent</w:t>
      </w:r>
      <w:r w:rsidRPr="00F40195">
        <w:rPr>
          <w:rFonts w:cs="Times New Roman"/>
        </w:rPr>
        <w:t>)</w:t>
      </w:r>
      <w:proofErr w:type="gramEnd"/>
      <w:r w:rsidRPr="00F40195">
        <w:rPr>
          <w:rFonts w:cs="Times New Roman"/>
        </w:rPr>
        <w:t xml:space="preserve"> lower than the national average teacher salary of $56,383. In 2003-2004 average teacher salaries in Kentucky were $40,240 or 13.8</w:t>
      </w:r>
      <w:r w:rsidR="005552E0" w:rsidRPr="00F40195">
        <w:rPr>
          <w:rFonts w:cs="Times New Roman"/>
        </w:rPr>
        <w:t xml:space="preserve"> percent</w:t>
      </w:r>
      <w:r w:rsidRPr="00F40195">
        <w:rPr>
          <w:rFonts w:cs="Times New Roman"/>
        </w:rPr>
        <w:t xml:space="preserve"> lower than the national average of $46,704. Between 2003-04 and 2012-13 Kentucky’s teacher salaries grew by $10,086 or 25.1</w:t>
      </w:r>
      <w:r w:rsidR="005552E0" w:rsidRPr="00F40195">
        <w:rPr>
          <w:rFonts w:cs="Times New Roman"/>
        </w:rPr>
        <w:t xml:space="preserve"> percent</w:t>
      </w:r>
      <w:r w:rsidRPr="00F40195">
        <w:rPr>
          <w:rFonts w:cs="Times New Roman"/>
        </w:rPr>
        <w:t xml:space="preserve"> while the national average teacher salary during that time grew by $9,679 for an increase of 20.7</w:t>
      </w:r>
      <w:r w:rsidR="005552E0" w:rsidRPr="00F40195">
        <w:rPr>
          <w:rFonts w:cs="Times New Roman"/>
        </w:rPr>
        <w:t xml:space="preserve"> percent</w:t>
      </w:r>
      <w:r w:rsidRPr="00F40195">
        <w:rPr>
          <w:rFonts w:cs="Times New Roman"/>
        </w:rPr>
        <w:t>. These data are displayed in Table 2.13.</w:t>
      </w:r>
    </w:p>
    <w:p w:rsidR="00F02794" w:rsidRPr="00F40195" w:rsidRDefault="00F02794" w:rsidP="00F40195">
      <w:pPr>
        <w:spacing w:line="240" w:lineRule="auto"/>
        <w:rPr>
          <w:rFonts w:cs="Times New Roman"/>
          <w:b/>
          <w:bCs/>
        </w:rPr>
      </w:pPr>
      <w:r w:rsidRPr="00F40195">
        <w:rPr>
          <w:rFonts w:cs="Times New Roman"/>
          <w:b/>
          <w:b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Table 2.13</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State Average Teacher Salaries</w:t>
      </w:r>
    </w:p>
    <w:p w:rsidR="009118E4" w:rsidRPr="00F40195" w:rsidRDefault="009118E4" w:rsidP="009118E4">
      <w:pPr>
        <w:widowControl w:val="0"/>
        <w:autoSpaceDE w:val="0"/>
        <w:autoSpaceDN w:val="0"/>
        <w:adjustRightInd w:val="0"/>
        <w:spacing w:line="240" w:lineRule="auto"/>
        <w:jc w:val="center"/>
        <w:rPr>
          <w:rFonts w:cs="Times New Roman"/>
        </w:rPr>
      </w:pPr>
    </w:p>
    <w:tbl>
      <w:tblPr>
        <w:tblStyle w:val="TableGrid"/>
        <w:tblW w:w="0" w:type="auto"/>
        <w:tblInd w:w="-72" w:type="dxa"/>
        <w:tblLook w:val="04A0" w:firstRow="1" w:lastRow="0" w:firstColumn="1" w:lastColumn="0" w:noHBand="0" w:noVBand="1"/>
      </w:tblPr>
      <w:tblGrid>
        <w:gridCol w:w="1843"/>
        <w:gridCol w:w="1771"/>
        <w:gridCol w:w="1771"/>
        <w:gridCol w:w="1771"/>
        <w:gridCol w:w="1772"/>
      </w:tblGrid>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pPr>
          </w:p>
        </w:tc>
        <w:tc>
          <w:tcPr>
            <w:tcW w:w="3542" w:type="dxa"/>
            <w:gridSpan w:val="2"/>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Average Teacher Salaries           </w:t>
            </w:r>
            <w:r w:rsidRPr="00F40195">
              <w:rPr>
                <w:i/>
              </w:rPr>
              <w:t>(National Rank)</w:t>
            </w:r>
          </w:p>
        </w:tc>
        <w:tc>
          <w:tcPr>
            <w:tcW w:w="3543" w:type="dxa"/>
            <w:gridSpan w:val="2"/>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Salary Increases                           </w:t>
            </w:r>
            <w:r w:rsidRPr="00F40195">
              <w:rPr>
                <w:i/>
              </w:rPr>
              <w:t>(National Rank)</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pPr>
          </w:p>
        </w:tc>
        <w:tc>
          <w:tcPr>
            <w:tcW w:w="1771" w:type="dxa"/>
            <w:vAlign w:val="center"/>
          </w:tcPr>
          <w:p w:rsidR="00F02794" w:rsidRPr="00F40195" w:rsidRDefault="00F02794" w:rsidP="00F40195">
            <w:pPr>
              <w:widowControl w:val="0"/>
              <w:autoSpaceDE w:val="0"/>
              <w:autoSpaceDN w:val="0"/>
              <w:adjustRightInd w:val="0"/>
              <w:spacing w:after="240"/>
              <w:contextualSpacing/>
              <w:jc w:val="center"/>
            </w:pPr>
            <w:r w:rsidRPr="00F40195">
              <w:t>2003-04</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2012-13</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Dollars</w:t>
            </w:r>
          </w:p>
        </w:tc>
        <w:tc>
          <w:tcPr>
            <w:tcW w:w="1772" w:type="dxa"/>
            <w:vAlign w:val="center"/>
          </w:tcPr>
          <w:p w:rsidR="00F02794" w:rsidRPr="00F40195" w:rsidRDefault="00F02794" w:rsidP="00F40195">
            <w:pPr>
              <w:widowControl w:val="0"/>
              <w:autoSpaceDE w:val="0"/>
              <w:autoSpaceDN w:val="0"/>
              <w:adjustRightInd w:val="0"/>
              <w:spacing w:after="240"/>
              <w:contextualSpacing/>
              <w:jc w:val="center"/>
            </w:pPr>
            <w:r w:rsidRPr="00F40195">
              <w:t>Percentages</w:t>
            </w:r>
          </w:p>
        </w:tc>
      </w:tr>
      <w:tr w:rsidR="00F02794" w:rsidRPr="00F40195" w:rsidTr="002F335C">
        <w:trPr>
          <w:trHeight w:val="432"/>
        </w:trPr>
        <w:tc>
          <w:tcPr>
            <w:tcW w:w="1843"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$46,704</w:t>
            </w:r>
          </w:p>
        </w:tc>
        <w:tc>
          <w:tcPr>
            <w:tcW w:w="1771" w:type="dxa"/>
            <w:tcBorders>
              <w:bottom w:val="thinThickSmallGap" w:sz="2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$56,383</w:t>
            </w:r>
          </w:p>
        </w:tc>
        <w:tc>
          <w:tcPr>
            <w:tcW w:w="1771" w:type="dxa"/>
            <w:tcBorders>
              <w:left w:val="thinThickSmallGap" w:sz="24" w:space="0" w:color="auto"/>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$9,679</w:t>
            </w:r>
          </w:p>
        </w:tc>
        <w:tc>
          <w:tcPr>
            <w:tcW w:w="1772"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20.7%</w:t>
            </w:r>
          </w:p>
        </w:tc>
      </w:tr>
      <w:tr w:rsidR="005463ED" w:rsidRPr="00F40195" w:rsidTr="002F335C">
        <w:trPr>
          <w:trHeight w:val="432"/>
        </w:trPr>
        <w:tc>
          <w:tcPr>
            <w:tcW w:w="1843" w:type="dxa"/>
            <w:tcBorders>
              <w:bottom w:val="thinThickSmallGap" w:sz="24" w:space="0" w:color="auto"/>
            </w:tcBorders>
            <w:vAlign w:val="center"/>
          </w:tcPr>
          <w:p w:rsidR="005463ED" w:rsidRPr="00F40195" w:rsidRDefault="005463ED" w:rsidP="00F40195">
            <w:pPr>
              <w:widowControl w:val="0"/>
              <w:autoSpaceDE w:val="0"/>
              <w:autoSpaceDN w:val="0"/>
              <w:adjustRightInd w:val="0"/>
              <w:spacing w:after="240"/>
              <w:contextualSpacing/>
              <w:jc w:val="center"/>
            </w:pPr>
            <w:r>
              <w:t>Comparative States</w:t>
            </w:r>
          </w:p>
        </w:tc>
        <w:tc>
          <w:tcPr>
            <w:tcW w:w="1771" w:type="dxa"/>
            <w:tcBorders>
              <w:bottom w:val="thinThickSmallGap" w:sz="24" w:space="0" w:color="auto"/>
            </w:tcBorders>
            <w:vAlign w:val="center"/>
          </w:tcPr>
          <w:p w:rsidR="005463ED" w:rsidRPr="00F40195" w:rsidRDefault="003B298C" w:rsidP="00F40195">
            <w:pPr>
              <w:widowControl w:val="0"/>
              <w:autoSpaceDE w:val="0"/>
              <w:autoSpaceDN w:val="0"/>
              <w:adjustRightInd w:val="0"/>
              <w:spacing w:after="240"/>
              <w:contextualSpacing/>
              <w:jc w:val="center"/>
            </w:pPr>
            <w:r>
              <w:t>$41,300</w:t>
            </w:r>
          </w:p>
        </w:tc>
        <w:tc>
          <w:tcPr>
            <w:tcW w:w="1771" w:type="dxa"/>
            <w:tcBorders>
              <w:bottom w:val="thinThickSmallGap" w:sz="24" w:space="0" w:color="auto"/>
              <w:right w:val="thinThickSmallGap" w:sz="24" w:space="0" w:color="auto"/>
            </w:tcBorders>
            <w:vAlign w:val="center"/>
          </w:tcPr>
          <w:p w:rsidR="005463ED" w:rsidRPr="00F40195" w:rsidRDefault="003B298C" w:rsidP="00F40195">
            <w:pPr>
              <w:widowControl w:val="0"/>
              <w:autoSpaceDE w:val="0"/>
              <w:autoSpaceDN w:val="0"/>
              <w:adjustRightInd w:val="0"/>
              <w:spacing w:after="240"/>
              <w:contextualSpacing/>
              <w:jc w:val="center"/>
            </w:pPr>
            <w:r>
              <w:t>$50,992</w:t>
            </w:r>
          </w:p>
        </w:tc>
        <w:tc>
          <w:tcPr>
            <w:tcW w:w="1771" w:type="dxa"/>
            <w:tcBorders>
              <w:left w:val="thinThickSmallGap" w:sz="24" w:space="0" w:color="auto"/>
              <w:bottom w:val="thinThickSmallGap" w:sz="24" w:space="0" w:color="auto"/>
            </w:tcBorders>
            <w:vAlign w:val="center"/>
          </w:tcPr>
          <w:p w:rsidR="005463ED" w:rsidRPr="00F40195" w:rsidRDefault="003A4728" w:rsidP="00F40195">
            <w:pPr>
              <w:widowControl w:val="0"/>
              <w:autoSpaceDE w:val="0"/>
              <w:autoSpaceDN w:val="0"/>
              <w:adjustRightInd w:val="0"/>
              <w:spacing w:after="240"/>
              <w:contextualSpacing/>
              <w:jc w:val="center"/>
            </w:pPr>
            <w:r>
              <w:t>$9,692</w:t>
            </w:r>
          </w:p>
        </w:tc>
        <w:tc>
          <w:tcPr>
            <w:tcW w:w="1772" w:type="dxa"/>
            <w:tcBorders>
              <w:bottom w:val="thinThickSmallGap" w:sz="24" w:space="0" w:color="auto"/>
            </w:tcBorders>
            <w:vAlign w:val="center"/>
          </w:tcPr>
          <w:p w:rsidR="005463ED" w:rsidRPr="00F40195" w:rsidRDefault="003A4728" w:rsidP="00F40195">
            <w:pPr>
              <w:widowControl w:val="0"/>
              <w:autoSpaceDE w:val="0"/>
              <w:autoSpaceDN w:val="0"/>
              <w:adjustRightInd w:val="0"/>
              <w:spacing w:after="240"/>
              <w:contextualSpacing/>
              <w:jc w:val="center"/>
            </w:pPr>
            <w:r>
              <w:t>23.5%</w:t>
            </w:r>
          </w:p>
        </w:tc>
      </w:tr>
      <w:tr w:rsidR="00F02794" w:rsidRPr="00F40195" w:rsidTr="002F335C">
        <w:trPr>
          <w:trHeight w:val="432"/>
        </w:trPr>
        <w:tc>
          <w:tcPr>
            <w:tcW w:w="1843"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$40,240 (33)</w:t>
            </w:r>
          </w:p>
        </w:tc>
        <w:tc>
          <w:tcPr>
            <w:tcW w:w="1771"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$50,326 (27)</w:t>
            </w:r>
          </w:p>
        </w:tc>
        <w:tc>
          <w:tcPr>
            <w:tcW w:w="1771"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$10,086 (24)</w:t>
            </w:r>
          </w:p>
        </w:tc>
        <w:tc>
          <w:tcPr>
            <w:tcW w:w="1772"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25.1% (17)</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$38,285 (42)</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$47,949 (38)</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$9,664 (26)</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25.2% (16)</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$39,314 (36)</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$46,632 (44)</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$7,318 (40)</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18.6% (40)</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$45,791 (16)</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$51,456 (25)</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$5,665 (48)</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12.4% (47)</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$38,278 (43)</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$47,517 (40)</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$9,239 (27)</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24.1% (20)</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$47,482 (14)</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$58,092 (14)</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$10,610 (20)</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22.3% (26)</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$40,318 (32)</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$48,289 (35)</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$7,971 (37)</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19.8% (35)</w:t>
            </w:r>
          </w:p>
        </w:tc>
      </w:tr>
      <w:tr w:rsidR="00F02794" w:rsidRPr="00F40195" w:rsidTr="002F335C">
        <w:trPr>
          <w:trHeight w:val="432"/>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$38,461 (39)</w:t>
            </w:r>
          </w:p>
        </w:tc>
        <w:tc>
          <w:tcPr>
            <w:tcW w:w="1771"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$46,405 (46)</w:t>
            </w:r>
          </w:p>
        </w:tc>
        <w:tc>
          <w:tcPr>
            <w:tcW w:w="1771"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$7,944 (38)</w:t>
            </w:r>
          </w:p>
        </w:tc>
        <w:tc>
          <w:tcPr>
            <w:tcW w:w="1772" w:type="dxa"/>
            <w:vAlign w:val="center"/>
          </w:tcPr>
          <w:p w:rsidR="00F02794" w:rsidRPr="00F40195" w:rsidRDefault="00F02794" w:rsidP="00F40195">
            <w:pPr>
              <w:widowControl w:val="0"/>
              <w:autoSpaceDE w:val="0"/>
              <w:autoSpaceDN w:val="0"/>
              <w:adjustRightInd w:val="0"/>
              <w:spacing w:after="240"/>
              <w:contextualSpacing/>
              <w:jc w:val="right"/>
            </w:pPr>
            <w:r w:rsidRPr="00F40195">
              <w:t>20.7% (32)</w:t>
            </w:r>
          </w:p>
        </w:tc>
      </w:tr>
    </w:tbl>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Source: National Education Association. Rankings and Estimates, 2000 through 2013</w:t>
      </w:r>
    </w:p>
    <w:p w:rsidR="00F02794" w:rsidRPr="00F40195" w:rsidRDefault="00F02794" w:rsidP="008D674A">
      <w:pPr>
        <w:pStyle w:val="Heading3"/>
      </w:pPr>
      <w:bookmarkStart w:id="55" w:name="_Toc385250720"/>
      <w:bookmarkStart w:id="56" w:name="_Toc395180662"/>
      <w:r w:rsidRPr="00F40195">
        <w:t>Teacher Salaries Adjusted by Comparable Wage Index</w:t>
      </w:r>
      <w:bookmarkEnd w:id="55"/>
      <w:bookmarkEnd w:id="56"/>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In an attempt to compare teacher salary data across states this study adjusted each state’s per pupil expenditure amounts by the Comparable Wage Index (CWI). In 2012-13, the average teacher salary adjusted by CWI in Kentucky w</w:t>
      </w:r>
      <w:r w:rsidR="00A541EA">
        <w:rPr>
          <w:rFonts w:cs="Times New Roman"/>
        </w:rPr>
        <w:t>as $54,170 that was $2,213 (3.9 percent</w:t>
      </w:r>
      <w:r w:rsidRPr="00F40195">
        <w:rPr>
          <w:rFonts w:cs="Times New Roman"/>
        </w:rPr>
        <w:t>) lower than the national average teacher salary of $56,383. In 2003-2004 average teacher salaries adjusted by CWI in Kentucky were $5,102 or 11.1</w:t>
      </w:r>
      <w:r w:rsidR="005552E0" w:rsidRPr="00F40195">
        <w:rPr>
          <w:rFonts w:cs="Times New Roman"/>
        </w:rPr>
        <w:t xml:space="preserve"> percent</w:t>
      </w:r>
      <w:r w:rsidRPr="00F40195">
        <w:rPr>
          <w:rFonts w:cs="Times New Roman"/>
        </w:rPr>
        <w:t xml:space="preserve"> lower than the national average of $46,704. Between 2003-04 and 2012-13 Kentucky’s teacher salaries adjusted by CWI grew by $12,001 or 28.5</w:t>
      </w:r>
      <w:r w:rsidR="005552E0" w:rsidRPr="00F40195">
        <w:rPr>
          <w:rFonts w:cs="Times New Roman"/>
        </w:rPr>
        <w:t xml:space="preserve"> percent</w:t>
      </w:r>
      <w:r w:rsidR="00763916">
        <w:rPr>
          <w:rFonts w:cs="Times New Roman"/>
        </w:rPr>
        <w:t xml:space="preserve"> </w:t>
      </w:r>
      <w:r w:rsidRPr="00F40195">
        <w:rPr>
          <w:rFonts w:cs="Times New Roman"/>
        </w:rPr>
        <w:t>while the national average teacher salary during that time grew by $9,679 for an increase of 20.7</w:t>
      </w:r>
      <w:r w:rsidR="005552E0" w:rsidRPr="00F40195">
        <w:rPr>
          <w:rFonts w:cs="Times New Roman"/>
        </w:rPr>
        <w:t>percent</w:t>
      </w:r>
      <w:r w:rsidRPr="00F40195">
        <w:rPr>
          <w:rFonts w:cs="Times New Roman"/>
        </w:rPr>
        <w:t>. These data are displayed in Table 2.14.</w:t>
      </w:r>
    </w:p>
    <w:p w:rsidR="00F02794" w:rsidRPr="00F40195" w:rsidRDefault="00F02794" w:rsidP="00F40195">
      <w:pPr>
        <w:spacing w:line="240" w:lineRule="auto"/>
        <w:rPr>
          <w:rFonts w:cs="Times New Roman"/>
          <w:b/>
          <w:bCs/>
        </w:rPr>
      </w:pPr>
      <w:r w:rsidRPr="00F40195">
        <w:rPr>
          <w:rFonts w:cs="Times New Roman"/>
          <w:b/>
          <w:b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Table 2.14</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State Average Teacher Salaries Adjusted for CWI</w:t>
      </w:r>
    </w:p>
    <w:p w:rsidR="009118E4" w:rsidRPr="00F40195" w:rsidRDefault="009118E4" w:rsidP="009118E4">
      <w:pPr>
        <w:widowControl w:val="0"/>
        <w:autoSpaceDE w:val="0"/>
        <w:autoSpaceDN w:val="0"/>
        <w:adjustRightInd w:val="0"/>
        <w:spacing w:line="240" w:lineRule="auto"/>
        <w:jc w:val="center"/>
        <w:rPr>
          <w:rFonts w:cs="Times New Roman"/>
        </w:rPr>
      </w:pPr>
    </w:p>
    <w:tbl>
      <w:tblPr>
        <w:tblStyle w:val="TableGrid"/>
        <w:tblW w:w="0" w:type="auto"/>
        <w:jc w:val="center"/>
        <w:tblLook w:val="04A0" w:firstRow="1" w:lastRow="0" w:firstColumn="1" w:lastColumn="0" w:noHBand="0" w:noVBand="1"/>
      </w:tblPr>
      <w:tblGrid>
        <w:gridCol w:w="1843"/>
        <w:gridCol w:w="2207"/>
        <w:gridCol w:w="2070"/>
      </w:tblGrid>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pPr>
          </w:p>
        </w:tc>
        <w:tc>
          <w:tcPr>
            <w:tcW w:w="4277" w:type="dxa"/>
            <w:gridSpan w:val="2"/>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Average Teacher Salaries </w:t>
            </w:r>
          </w:p>
          <w:p w:rsidR="00F02794" w:rsidRPr="00F40195" w:rsidRDefault="00F02794" w:rsidP="00F40195">
            <w:pPr>
              <w:widowControl w:val="0"/>
              <w:autoSpaceDE w:val="0"/>
              <w:autoSpaceDN w:val="0"/>
              <w:adjustRightInd w:val="0"/>
              <w:spacing w:after="240"/>
              <w:contextualSpacing/>
              <w:jc w:val="center"/>
            </w:pPr>
            <w:r w:rsidRPr="00F40195">
              <w:t xml:space="preserve">Adjusted by Comparable Wage Index         </w:t>
            </w:r>
            <w:r w:rsidRPr="00F40195">
              <w:rPr>
                <w:i/>
              </w:rPr>
              <w:t>(National Rank)</w:t>
            </w:r>
          </w:p>
        </w:tc>
      </w:tr>
      <w:tr w:rsidR="00F02794" w:rsidRPr="00F40195" w:rsidTr="002F335C">
        <w:trPr>
          <w:trHeight w:val="575"/>
          <w:jc w:val="center"/>
        </w:trPr>
        <w:tc>
          <w:tcPr>
            <w:tcW w:w="1843" w:type="dxa"/>
            <w:vAlign w:val="center"/>
          </w:tcPr>
          <w:p w:rsidR="00F02794" w:rsidRPr="00F40195" w:rsidRDefault="00F02794" w:rsidP="00F40195">
            <w:pPr>
              <w:widowControl w:val="0"/>
              <w:autoSpaceDE w:val="0"/>
              <w:autoSpaceDN w:val="0"/>
              <w:adjustRightInd w:val="0"/>
              <w:spacing w:after="240"/>
              <w:contextualSpacing/>
            </w:pPr>
          </w:p>
        </w:tc>
        <w:tc>
          <w:tcPr>
            <w:tcW w:w="2207" w:type="dxa"/>
            <w:vAlign w:val="center"/>
          </w:tcPr>
          <w:p w:rsidR="00F02794" w:rsidRPr="00F40195" w:rsidRDefault="00F02794" w:rsidP="00F40195">
            <w:pPr>
              <w:widowControl w:val="0"/>
              <w:autoSpaceDE w:val="0"/>
              <w:autoSpaceDN w:val="0"/>
              <w:adjustRightInd w:val="0"/>
              <w:spacing w:after="240"/>
              <w:contextualSpacing/>
              <w:jc w:val="center"/>
            </w:pPr>
            <w:r w:rsidRPr="00F40195">
              <w:t>2003-04</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2012-13</w:t>
            </w:r>
          </w:p>
        </w:tc>
      </w:tr>
      <w:tr w:rsidR="00F02794" w:rsidRPr="00F40195" w:rsidTr="002F335C">
        <w:trPr>
          <w:trHeight w:val="432"/>
          <w:jc w:val="center"/>
        </w:trPr>
        <w:tc>
          <w:tcPr>
            <w:tcW w:w="1843"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2207"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$46,704</w:t>
            </w:r>
          </w:p>
        </w:tc>
        <w:tc>
          <w:tcPr>
            <w:tcW w:w="2070" w:type="dxa"/>
            <w:tcBorders>
              <w:bottom w:val="thinThickSmallGap" w:sz="24" w:space="0" w:color="auto"/>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$56,383</w:t>
            </w:r>
          </w:p>
        </w:tc>
      </w:tr>
      <w:tr w:rsidR="003A4728" w:rsidRPr="00F40195" w:rsidTr="002F335C">
        <w:trPr>
          <w:trHeight w:val="432"/>
          <w:jc w:val="center"/>
        </w:trPr>
        <w:tc>
          <w:tcPr>
            <w:tcW w:w="1843" w:type="dxa"/>
            <w:tcBorders>
              <w:bottom w:val="thinThickSmallGap" w:sz="24" w:space="0" w:color="auto"/>
            </w:tcBorders>
            <w:vAlign w:val="center"/>
          </w:tcPr>
          <w:p w:rsidR="003A4728" w:rsidRPr="00F40195" w:rsidRDefault="003A4728" w:rsidP="00F40195">
            <w:pPr>
              <w:widowControl w:val="0"/>
              <w:autoSpaceDE w:val="0"/>
              <w:autoSpaceDN w:val="0"/>
              <w:adjustRightInd w:val="0"/>
              <w:spacing w:after="240"/>
              <w:contextualSpacing/>
              <w:jc w:val="center"/>
            </w:pPr>
            <w:r>
              <w:t>Comparative States</w:t>
            </w:r>
          </w:p>
        </w:tc>
        <w:tc>
          <w:tcPr>
            <w:tcW w:w="2207" w:type="dxa"/>
            <w:tcBorders>
              <w:bottom w:val="thinThickSmallGap" w:sz="24" w:space="0" w:color="auto"/>
            </w:tcBorders>
            <w:vAlign w:val="center"/>
          </w:tcPr>
          <w:p w:rsidR="003A4728" w:rsidRPr="00F40195" w:rsidRDefault="003A4728" w:rsidP="00F40195">
            <w:pPr>
              <w:widowControl w:val="0"/>
              <w:autoSpaceDE w:val="0"/>
              <w:autoSpaceDN w:val="0"/>
              <w:adjustRightInd w:val="0"/>
              <w:spacing w:after="240"/>
              <w:contextualSpacing/>
              <w:jc w:val="center"/>
            </w:pPr>
            <w:r>
              <w:t>$43,564</w:t>
            </w:r>
          </w:p>
        </w:tc>
        <w:tc>
          <w:tcPr>
            <w:tcW w:w="2070" w:type="dxa"/>
            <w:tcBorders>
              <w:bottom w:val="thinThickSmallGap" w:sz="24" w:space="0" w:color="auto"/>
              <w:right w:val="single" w:sz="4" w:space="0" w:color="auto"/>
            </w:tcBorders>
            <w:vAlign w:val="center"/>
          </w:tcPr>
          <w:p w:rsidR="003A4728" w:rsidRPr="00F40195" w:rsidRDefault="003A4728" w:rsidP="00F40195">
            <w:pPr>
              <w:widowControl w:val="0"/>
              <w:autoSpaceDE w:val="0"/>
              <w:autoSpaceDN w:val="0"/>
              <w:adjustRightInd w:val="0"/>
              <w:spacing w:after="240"/>
              <w:contextualSpacing/>
              <w:jc w:val="center"/>
            </w:pPr>
            <w:r>
              <w:t>$53,668</w:t>
            </w:r>
          </w:p>
        </w:tc>
      </w:tr>
      <w:tr w:rsidR="00F02794" w:rsidRPr="00F40195" w:rsidTr="002F335C">
        <w:trPr>
          <w:trHeight w:val="432"/>
          <w:jc w:val="center"/>
        </w:trPr>
        <w:tc>
          <w:tcPr>
            <w:tcW w:w="1843"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2207"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$42,168 (32)</w:t>
            </w:r>
          </w:p>
        </w:tc>
        <w:tc>
          <w:tcPr>
            <w:tcW w:w="2070" w:type="dxa"/>
            <w:tcBorders>
              <w:top w:val="thinThickSmallGap" w:sz="24" w:space="0" w:color="auto"/>
              <w:right w:val="single" w:sz="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$54,170 (26)</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$40,603 (42)</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$50,319 (37)</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$44,342 (22)</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$52,279 (31)</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$48,113 (</w:t>
            </w:r>
            <w:r w:rsidR="005552E0" w:rsidRPr="00F40195">
              <w:t>0</w:t>
            </w:r>
            <w:r w:rsidRPr="00F40195">
              <w:t>8)</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$55,975 (21)</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$39,774 (45)</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$51,189 (33)</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$46,174 (15)</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$58,736 (11)</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$40,648 (40)</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$49,825 (38)</w:t>
            </w:r>
          </w:p>
        </w:tc>
      </w:tr>
      <w:tr w:rsidR="00F02794" w:rsidRPr="00F40195" w:rsidTr="002F335C">
        <w:trPr>
          <w:trHeight w:val="432"/>
          <w:jc w:val="center"/>
        </w:trPr>
        <w:tc>
          <w:tcPr>
            <w:tcW w:w="1843"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2207" w:type="dxa"/>
            <w:vAlign w:val="center"/>
          </w:tcPr>
          <w:p w:rsidR="00F02794" w:rsidRPr="00F40195" w:rsidRDefault="00F02794" w:rsidP="00F40195">
            <w:pPr>
              <w:widowControl w:val="0"/>
              <w:autoSpaceDE w:val="0"/>
              <w:autoSpaceDN w:val="0"/>
              <w:adjustRightInd w:val="0"/>
              <w:spacing w:after="240"/>
              <w:contextualSpacing/>
              <w:jc w:val="right"/>
            </w:pPr>
            <w:r w:rsidRPr="00F40195">
              <w:t>$42,476 (30)</w:t>
            </w:r>
          </w:p>
        </w:tc>
        <w:tc>
          <w:tcPr>
            <w:tcW w:w="2070" w:type="dxa"/>
            <w:tcBorders>
              <w:right w:val="single" w:sz="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$50,461 (36)</w:t>
            </w:r>
          </w:p>
        </w:tc>
      </w:tr>
    </w:tbl>
    <w:p w:rsidR="00F02794" w:rsidRDefault="00F02794" w:rsidP="00763916">
      <w:pPr>
        <w:widowControl w:val="0"/>
        <w:autoSpaceDE w:val="0"/>
        <w:autoSpaceDN w:val="0"/>
        <w:adjustRightInd w:val="0"/>
        <w:spacing w:line="240" w:lineRule="auto"/>
        <w:ind w:left="1440"/>
        <w:rPr>
          <w:rFonts w:cs="Times New Roman"/>
        </w:rPr>
      </w:pPr>
      <w:r w:rsidRPr="00F40195">
        <w:rPr>
          <w:rFonts w:cs="Times New Roman"/>
        </w:rPr>
        <w:t>Sources: National Education Association</w:t>
      </w:r>
      <w:r w:rsidR="00453660">
        <w:rPr>
          <w:rFonts w:cs="Times New Roman"/>
        </w:rPr>
        <w:t xml:space="preserve"> (2013)</w:t>
      </w:r>
      <w:r w:rsidR="009118E4">
        <w:rPr>
          <w:rFonts w:cs="Times New Roman"/>
        </w:rPr>
        <w:t>, Na</w:t>
      </w:r>
      <w:r w:rsidR="00763916">
        <w:rPr>
          <w:rFonts w:cs="Times New Roman"/>
        </w:rPr>
        <w:t xml:space="preserve">tional Center for Education </w:t>
      </w:r>
      <w:r w:rsidRPr="00F40195">
        <w:rPr>
          <w:rFonts w:cs="Times New Roman"/>
        </w:rPr>
        <w:t xml:space="preserve">Statistics </w:t>
      </w:r>
      <w:r w:rsidR="00453660">
        <w:rPr>
          <w:rFonts w:cs="Times New Roman"/>
        </w:rPr>
        <w:t>(2013)</w:t>
      </w:r>
    </w:p>
    <w:p w:rsidR="009118E4" w:rsidRPr="00F40195" w:rsidRDefault="009118E4" w:rsidP="009118E4">
      <w:pPr>
        <w:widowControl w:val="0"/>
        <w:autoSpaceDE w:val="0"/>
        <w:autoSpaceDN w:val="0"/>
        <w:adjustRightInd w:val="0"/>
        <w:spacing w:line="240" w:lineRule="auto"/>
        <w:ind w:left="1440" w:firstLine="720"/>
        <w:rPr>
          <w:rFonts w:cs="Times New Roman"/>
        </w:rPr>
      </w:pPr>
    </w:p>
    <w:p w:rsidR="00F02794" w:rsidRDefault="00F02794" w:rsidP="00F40195">
      <w:pPr>
        <w:widowControl w:val="0"/>
        <w:autoSpaceDE w:val="0"/>
        <w:autoSpaceDN w:val="0"/>
        <w:adjustRightInd w:val="0"/>
        <w:spacing w:after="240" w:line="240" w:lineRule="auto"/>
        <w:rPr>
          <w:rFonts w:cs="Times New Roman"/>
        </w:rPr>
      </w:pPr>
      <w:r w:rsidRPr="00F40195">
        <w:rPr>
          <w:rFonts w:cs="Times New Roman"/>
        </w:rPr>
        <w:t>For this study the teaching positions includes only “classroom teachers” as defined by the NEA’s Rankings &amp; Estimates publications. This would include “… staff members assigned the professional activities of instructing pupils in self-contained classes or courses, or in classroom situations”</w:t>
      </w:r>
      <w:r w:rsidR="007D2507">
        <w:rPr>
          <w:rFonts w:cs="Times New Roman"/>
        </w:rPr>
        <w:t xml:space="preserve"> (</w:t>
      </w:r>
      <w:r w:rsidR="007D2507">
        <w:t>NEA, 2013)</w:t>
      </w:r>
      <w:r w:rsidRPr="00F40195">
        <w:rPr>
          <w:rFonts w:cs="Times New Roman"/>
        </w:rPr>
        <w:t>. This definition would not include other instructional and non-</w:t>
      </w:r>
      <w:r w:rsidR="00797CB2" w:rsidRPr="00F40195">
        <w:rPr>
          <w:rFonts w:cs="Times New Roman"/>
        </w:rPr>
        <w:t>instructional</w:t>
      </w:r>
      <w:r w:rsidRPr="00F40195">
        <w:rPr>
          <w:rFonts w:cs="Times New Roman"/>
        </w:rPr>
        <w:t xml:space="preserve"> staff such as administrative staff, guidance personnel, librarians, principals or psychological personnel. In Kentucky from 2003-04 to 2012-13 the number of full-time equivalent (FTE) teaching positions increased by 776, or 1.9</w:t>
      </w:r>
      <w:r w:rsidR="00371FF9" w:rsidRPr="00F40195">
        <w:rPr>
          <w:rFonts w:cs="Times New Roman"/>
        </w:rPr>
        <w:t xml:space="preserve"> percent</w:t>
      </w:r>
      <w:r w:rsidR="00FA6F0C">
        <w:rPr>
          <w:rFonts w:cs="Times New Roman"/>
        </w:rPr>
        <w:t>, which includes core content and specialist teachers</w:t>
      </w:r>
      <w:r w:rsidRPr="00F40195">
        <w:rPr>
          <w:rFonts w:cs="Times New Roman"/>
        </w:rPr>
        <w:t>. Nationally the number of teachers increased by 2.2</w:t>
      </w:r>
      <w:r w:rsidR="00371FF9" w:rsidRPr="00F40195">
        <w:rPr>
          <w:rFonts w:cs="Times New Roman"/>
        </w:rPr>
        <w:t xml:space="preserve"> percent</w:t>
      </w:r>
      <w:r w:rsidRPr="00F40195">
        <w:rPr>
          <w:rFonts w:cs="Times New Roman"/>
        </w:rPr>
        <w:t xml:space="preserve"> and in the comparison states they decreased by 3.2</w:t>
      </w:r>
      <w:r w:rsidR="00371FF9" w:rsidRPr="00F40195">
        <w:rPr>
          <w:rFonts w:cs="Times New Roman"/>
        </w:rPr>
        <w:t xml:space="preserve"> percent</w:t>
      </w:r>
      <w:r w:rsidRPr="00F40195">
        <w:rPr>
          <w:rFonts w:cs="Times New Roman"/>
        </w:rPr>
        <w:t>. The number of teaching positions in Kentucky increased at a slightly great rate the number of students, which has led to a slight reduction in the student to teacher ratio from 16.1 to 1 in 2003-04 to 15.8 to 1 in 2012-13 (NEA, 2013). Nationally, average student to teacher ratio in 2012-13 was 15.9 to 1 and the average in the comparative states was 15.6 to 1 in that same year. Note that these are not class size ratios, but the ratios of the number of classroom teachers to student enrollment.</w:t>
      </w:r>
    </w:p>
    <w:p w:rsidR="007D2507" w:rsidRPr="00F40195" w:rsidRDefault="007D2507" w:rsidP="00F40195">
      <w:pPr>
        <w:widowControl w:val="0"/>
        <w:autoSpaceDE w:val="0"/>
        <w:autoSpaceDN w:val="0"/>
        <w:adjustRightInd w:val="0"/>
        <w:spacing w:after="240" w:line="240" w:lineRule="auto"/>
        <w:rPr>
          <w:rFonts w:cs="Times New Roman"/>
        </w:rPr>
      </w:pPr>
    </w:p>
    <w:p w:rsidR="009118E4" w:rsidRDefault="009118E4" w:rsidP="007D2507">
      <w:pPr>
        <w:jc w:val="center"/>
        <w:rPr>
          <w:rFonts w:cs="Times New Roman"/>
          <w:b/>
          <w:bCs/>
        </w:rPr>
      </w:pPr>
      <w:r>
        <w:rPr>
          <w:rFonts w:cs="Times New Roman"/>
          <w:b/>
          <w:bCs/>
        </w:rPr>
        <w:lastRenderedPageBreak/>
        <w:t>Table 2.15</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Student to Teacher Ratios</w:t>
      </w:r>
    </w:p>
    <w:p w:rsidR="009118E4" w:rsidRPr="00F40195" w:rsidRDefault="009118E4" w:rsidP="009118E4">
      <w:pPr>
        <w:widowControl w:val="0"/>
        <w:autoSpaceDE w:val="0"/>
        <w:autoSpaceDN w:val="0"/>
        <w:adjustRightInd w:val="0"/>
        <w:spacing w:line="240" w:lineRule="auto"/>
        <w:rPr>
          <w:rFonts w:cs="Times New Roman"/>
        </w:rPr>
      </w:pPr>
    </w:p>
    <w:tbl>
      <w:tblPr>
        <w:tblStyle w:val="TableGrid"/>
        <w:tblW w:w="9450" w:type="dxa"/>
        <w:tblInd w:w="-342" w:type="dxa"/>
        <w:tblLook w:val="04A0" w:firstRow="1" w:lastRow="0" w:firstColumn="1" w:lastColumn="0" w:noHBand="0" w:noVBand="1"/>
      </w:tblPr>
      <w:tblGrid>
        <w:gridCol w:w="2113"/>
        <w:gridCol w:w="1771"/>
        <w:gridCol w:w="2146"/>
        <w:gridCol w:w="1710"/>
        <w:gridCol w:w="1710"/>
      </w:tblGrid>
      <w:tr w:rsidR="00F02794" w:rsidRPr="00F40195" w:rsidTr="002F335C">
        <w:trPr>
          <w:trHeight w:val="432"/>
        </w:trPr>
        <w:tc>
          <w:tcPr>
            <w:tcW w:w="2113" w:type="dxa"/>
            <w:vMerge w:val="restart"/>
            <w:vAlign w:val="center"/>
          </w:tcPr>
          <w:p w:rsidR="00F02794" w:rsidRPr="00F40195" w:rsidRDefault="00F02794" w:rsidP="00F40195">
            <w:pPr>
              <w:widowControl w:val="0"/>
              <w:autoSpaceDE w:val="0"/>
              <w:autoSpaceDN w:val="0"/>
              <w:adjustRightInd w:val="0"/>
              <w:spacing w:after="240"/>
              <w:contextualSpacing/>
            </w:pPr>
          </w:p>
        </w:tc>
        <w:tc>
          <w:tcPr>
            <w:tcW w:w="3917" w:type="dxa"/>
            <w:gridSpan w:val="2"/>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Change in FTE Teaching Positions</w:t>
            </w:r>
          </w:p>
          <w:p w:rsidR="00F02794" w:rsidRPr="00F40195" w:rsidRDefault="00F02794" w:rsidP="00F40195">
            <w:pPr>
              <w:widowControl w:val="0"/>
              <w:autoSpaceDE w:val="0"/>
              <w:autoSpaceDN w:val="0"/>
              <w:adjustRightInd w:val="0"/>
              <w:spacing w:after="240"/>
              <w:contextualSpacing/>
              <w:jc w:val="center"/>
            </w:pPr>
            <w:r w:rsidRPr="00F40195">
              <w:t>2003-04 to 2012-13</w:t>
            </w:r>
          </w:p>
          <w:p w:rsidR="00F02794" w:rsidRPr="00F40195" w:rsidRDefault="00F02794" w:rsidP="00F40195">
            <w:pPr>
              <w:widowControl w:val="0"/>
              <w:autoSpaceDE w:val="0"/>
              <w:autoSpaceDN w:val="0"/>
              <w:adjustRightInd w:val="0"/>
              <w:spacing w:after="240"/>
              <w:contextualSpacing/>
              <w:jc w:val="center"/>
              <w:rPr>
                <w:i/>
              </w:rPr>
            </w:pPr>
            <w:r w:rsidRPr="00F40195">
              <w:rPr>
                <w:i/>
              </w:rPr>
              <w:t>(National Rank)</w:t>
            </w:r>
          </w:p>
        </w:tc>
        <w:tc>
          <w:tcPr>
            <w:tcW w:w="3420" w:type="dxa"/>
            <w:gridSpan w:val="2"/>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Teacher to Student Ratios       </w:t>
            </w:r>
            <w:r w:rsidRPr="00F40195">
              <w:rPr>
                <w:i/>
              </w:rPr>
              <w:t>(National Rank)</w:t>
            </w:r>
          </w:p>
        </w:tc>
      </w:tr>
      <w:tr w:rsidR="00F02794" w:rsidRPr="00F40195" w:rsidTr="002F335C">
        <w:trPr>
          <w:trHeight w:val="432"/>
        </w:trPr>
        <w:tc>
          <w:tcPr>
            <w:tcW w:w="2113" w:type="dxa"/>
            <w:vMerge/>
            <w:vAlign w:val="center"/>
          </w:tcPr>
          <w:p w:rsidR="00F02794" w:rsidRPr="00F40195" w:rsidRDefault="00F02794" w:rsidP="00F40195">
            <w:pPr>
              <w:widowControl w:val="0"/>
              <w:autoSpaceDE w:val="0"/>
              <w:autoSpaceDN w:val="0"/>
              <w:adjustRightInd w:val="0"/>
              <w:spacing w:after="240"/>
              <w:contextualSpacing/>
            </w:pPr>
          </w:p>
        </w:tc>
        <w:tc>
          <w:tcPr>
            <w:tcW w:w="1771" w:type="dxa"/>
            <w:vAlign w:val="center"/>
          </w:tcPr>
          <w:p w:rsidR="00F02794" w:rsidRPr="00F40195" w:rsidRDefault="00F02794" w:rsidP="00F40195">
            <w:pPr>
              <w:widowControl w:val="0"/>
              <w:autoSpaceDE w:val="0"/>
              <w:autoSpaceDN w:val="0"/>
              <w:adjustRightInd w:val="0"/>
              <w:spacing w:after="240"/>
              <w:contextualSpacing/>
              <w:jc w:val="center"/>
            </w:pPr>
            <w:r w:rsidRPr="00F40195">
              <w:t>Total</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Percentage</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2003-04</w:t>
            </w:r>
          </w:p>
        </w:tc>
        <w:tc>
          <w:tcPr>
            <w:tcW w:w="1710" w:type="dxa"/>
            <w:vAlign w:val="center"/>
          </w:tcPr>
          <w:p w:rsidR="00F02794" w:rsidRPr="00F40195" w:rsidRDefault="00F02794" w:rsidP="00F40195">
            <w:pPr>
              <w:widowControl w:val="0"/>
              <w:autoSpaceDE w:val="0"/>
              <w:autoSpaceDN w:val="0"/>
              <w:adjustRightInd w:val="0"/>
              <w:spacing w:after="240"/>
              <w:contextualSpacing/>
              <w:jc w:val="center"/>
            </w:pPr>
            <w:r w:rsidRPr="00F40195">
              <w:t>2012-13</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1771" w:type="dxa"/>
            <w:vAlign w:val="center"/>
          </w:tcPr>
          <w:p w:rsidR="00F02794" w:rsidRPr="00F40195" w:rsidRDefault="00F02794" w:rsidP="00F40195">
            <w:pPr>
              <w:widowControl w:val="0"/>
              <w:autoSpaceDE w:val="0"/>
              <w:autoSpaceDN w:val="0"/>
              <w:adjustRightInd w:val="0"/>
              <w:spacing w:after="240"/>
              <w:contextualSpacing/>
              <w:jc w:val="center"/>
            </w:pPr>
            <w:r w:rsidRPr="00F40195">
              <w:t>65,555</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2.2%</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15.9</w:t>
            </w:r>
          </w:p>
        </w:tc>
        <w:tc>
          <w:tcPr>
            <w:tcW w:w="1710" w:type="dxa"/>
            <w:vAlign w:val="center"/>
          </w:tcPr>
          <w:p w:rsidR="00F02794" w:rsidRPr="00F40195" w:rsidRDefault="00F02794" w:rsidP="00F40195">
            <w:pPr>
              <w:widowControl w:val="0"/>
              <w:autoSpaceDE w:val="0"/>
              <w:autoSpaceDN w:val="0"/>
              <w:adjustRightInd w:val="0"/>
              <w:spacing w:after="240"/>
              <w:contextualSpacing/>
              <w:jc w:val="center"/>
            </w:pPr>
            <w:r w:rsidRPr="00F40195">
              <w:t>15.9</w:t>
            </w:r>
          </w:p>
        </w:tc>
      </w:tr>
      <w:tr w:rsidR="00F02794" w:rsidRPr="00F40195" w:rsidTr="002F335C">
        <w:trPr>
          <w:trHeight w:val="432"/>
        </w:trPr>
        <w:tc>
          <w:tcPr>
            <w:tcW w:w="2113"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Comparative States</w:t>
            </w:r>
          </w:p>
        </w:tc>
        <w:tc>
          <w:tcPr>
            <w:tcW w:w="1771"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-13,121</w:t>
            </w:r>
          </w:p>
        </w:tc>
        <w:tc>
          <w:tcPr>
            <w:tcW w:w="2146" w:type="dxa"/>
            <w:tcBorders>
              <w:bottom w:val="thinThickSmallGap" w:sz="2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-3.2%</w:t>
            </w:r>
          </w:p>
        </w:tc>
        <w:tc>
          <w:tcPr>
            <w:tcW w:w="1710" w:type="dxa"/>
            <w:tcBorders>
              <w:left w:val="thinThickSmallGap" w:sz="24" w:space="0" w:color="auto"/>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15.4</w:t>
            </w:r>
          </w:p>
        </w:tc>
        <w:tc>
          <w:tcPr>
            <w:tcW w:w="1710"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15.6</w:t>
            </w:r>
          </w:p>
        </w:tc>
      </w:tr>
      <w:tr w:rsidR="00F02794" w:rsidRPr="00F40195" w:rsidTr="002F335C">
        <w:trPr>
          <w:trHeight w:val="432"/>
        </w:trPr>
        <w:tc>
          <w:tcPr>
            <w:tcW w:w="2113"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1771"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776 (28)</w:t>
            </w:r>
          </w:p>
        </w:tc>
        <w:tc>
          <w:tcPr>
            <w:tcW w:w="2146"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1.9% (31)</w:t>
            </w:r>
          </w:p>
        </w:tc>
        <w:tc>
          <w:tcPr>
            <w:tcW w:w="1710"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16.1 (35)</w:t>
            </w:r>
          </w:p>
        </w:tc>
        <w:tc>
          <w:tcPr>
            <w:tcW w:w="1710"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15.8 (32)</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-11,770 (48)</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-20.3% (50)</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12.6 (3)</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15.9 (35)</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322 (33)</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1.0% (33)</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14.7 (21)</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15.2 (26)</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3,663 (14)</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6.1% (18)</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16.9 (40)</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16.4 (40)</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3,553 (15)</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5.5% (19)</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13.9 (16)</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13.2 (11)</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-15,242 (49)</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-12.5% (45)</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15.2 (29)</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17.5 (41)</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6,533 (</w:t>
            </w:r>
            <w:r w:rsidR="002650E0" w:rsidRPr="00F40195">
              <w:t>0</w:t>
            </w:r>
            <w:r w:rsidRPr="00F40195">
              <w:t>7)</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11.0% (12)</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15.7 (32)</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14.8 (25)</w:t>
            </w:r>
          </w:p>
        </w:tc>
      </w:tr>
      <w:tr w:rsidR="00F02794" w:rsidRPr="00F40195" w:rsidTr="002F335C">
        <w:trPr>
          <w:trHeight w:val="432"/>
        </w:trPr>
        <w:tc>
          <w:tcPr>
            <w:tcW w:w="2113"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1771" w:type="dxa"/>
            <w:vAlign w:val="center"/>
          </w:tcPr>
          <w:p w:rsidR="00F02794" w:rsidRPr="00F40195" w:rsidRDefault="00F02794" w:rsidP="00F40195">
            <w:pPr>
              <w:widowControl w:val="0"/>
              <w:autoSpaceDE w:val="0"/>
              <w:autoSpaceDN w:val="0"/>
              <w:adjustRightInd w:val="0"/>
              <w:spacing w:after="240"/>
              <w:contextualSpacing/>
              <w:jc w:val="right"/>
            </w:pPr>
            <w:r w:rsidRPr="00F40195">
              <w:t>-180 (38)</w:t>
            </w:r>
          </w:p>
        </w:tc>
        <w:tc>
          <w:tcPr>
            <w:tcW w:w="2146"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-0.9% (39)</w:t>
            </w:r>
          </w:p>
        </w:tc>
        <w:tc>
          <w:tcPr>
            <w:tcW w:w="171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right"/>
            </w:pPr>
            <w:r w:rsidRPr="00F40195">
              <w:t>14.0 (17)</w:t>
            </w:r>
          </w:p>
        </w:tc>
        <w:tc>
          <w:tcPr>
            <w:tcW w:w="1710" w:type="dxa"/>
            <w:vAlign w:val="center"/>
          </w:tcPr>
          <w:p w:rsidR="00F02794" w:rsidRPr="00F40195" w:rsidRDefault="00F02794" w:rsidP="00F40195">
            <w:pPr>
              <w:widowControl w:val="0"/>
              <w:autoSpaceDE w:val="0"/>
              <w:autoSpaceDN w:val="0"/>
              <w:adjustRightInd w:val="0"/>
              <w:spacing w:after="240"/>
              <w:contextualSpacing/>
              <w:jc w:val="right"/>
            </w:pPr>
            <w:r w:rsidRPr="00F40195">
              <w:t>14.2 (20)</w:t>
            </w:r>
          </w:p>
        </w:tc>
      </w:tr>
    </w:tbl>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Source: Teacher data and administrator data – Education Commission of the States, 2000 through 2013.</w:t>
      </w:r>
    </w:p>
    <w:p w:rsidR="00F02794" w:rsidRPr="00F40195" w:rsidRDefault="00F02794" w:rsidP="008D674A">
      <w:pPr>
        <w:pStyle w:val="Heading3"/>
      </w:pPr>
      <w:bookmarkStart w:id="57" w:name="_Toc385250721"/>
      <w:bookmarkStart w:id="58" w:name="_Toc395180663"/>
      <w:r w:rsidRPr="00F40195">
        <w:t>Federal Education Spending</w:t>
      </w:r>
      <w:bookmarkEnd w:id="57"/>
      <w:bookmarkEnd w:id="58"/>
    </w:p>
    <w:p w:rsidR="00F02794" w:rsidRPr="00F40195" w:rsidRDefault="00F02794" w:rsidP="00F40195">
      <w:pPr>
        <w:widowControl w:val="0"/>
        <w:autoSpaceDE w:val="0"/>
        <w:autoSpaceDN w:val="0"/>
        <w:adjustRightInd w:val="0"/>
        <w:spacing w:after="240" w:line="240" w:lineRule="auto"/>
        <w:rPr>
          <w:rFonts w:cs="Times New Roman"/>
          <w:iCs/>
        </w:rPr>
      </w:pPr>
      <w:r w:rsidRPr="00F40195">
        <w:rPr>
          <w:rFonts w:cs="Times New Roman"/>
          <w:iCs/>
        </w:rPr>
        <w:t>From 2001-02 to 2010-11 the percentage of K-12 educational spending in Kentucky coming from federal sources increased from 10.5</w:t>
      </w:r>
      <w:r w:rsidR="006B66B0" w:rsidRPr="00F40195">
        <w:rPr>
          <w:rFonts w:cs="Times New Roman"/>
          <w:iCs/>
        </w:rPr>
        <w:t xml:space="preserve"> </w:t>
      </w:r>
      <w:r w:rsidR="002650E0" w:rsidRPr="00F40195">
        <w:rPr>
          <w:rFonts w:cs="Times New Roman"/>
          <w:iCs/>
        </w:rPr>
        <w:t xml:space="preserve">percent </w:t>
      </w:r>
      <w:r w:rsidR="006B66B0" w:rsidRPr="00F40195">
        <w:rPr>
          <w:rFonts w:cs="Times New Roman"/>
          <w:iCs/>
        </w:rPr>
        <w:t xml:space="preserve">to </w:t>
      </w:r>
      <w:r w:rsidRPr="00F40195">
        <w:rPr>
          <w:rFonts w:cs="Times New Roman"/>
          <w:iCs/>
        </w:rPr>
        <w:t>16.4</w:t>
      </w:r>
      <w:r w:rsidR="002650E0" w:rsidRPr="00F40195">
        <w:rPr>
          <w:rFonts w:cs="Times New Roman"/>
          <w:iCs/>
        </w:rPr>
        <w:t xml:space="preserve"> percent</w:t>
      </w:r>
      <w:r w:rsidRPr="00F40195">
        <w:rPr>
          <w:rFonts w:cs="Times New Roman"/>
          <w:iCs/>
        </w:rPr>
        <w:t>. During this same time period the national average of funding from federal sources increased from 7.8</w:t>
      </w:r>
      <w:r w:rsidR="002650E0" w:rsidRPr="00F40195">
        <w:rPr>
          <w:rFonts w:cs="Times New Roman"/>
          <w:iCs/>
        </w:rPr>
        <w:t xml:space="preserve"> percent</w:t>
      </w:r>
      <w:r w:rsidRPr="00F40195">
        <w:rPr>
          <w:rFonts w:cs="Times New Roman"/>
          <w:iCs/>
        </w:rPr>
        <w:t xml:space="preserve"> to 12.3</w:t>
      </w:r>
      <w:r w:rsidR="002650E0" w:rsidRPr="00F40195">
        <w:rPr>
          <w:rFonts w:cs="Times New Roman"/>
          <w:iCs/>
        </w:rPr>
        <w:t xml:space="preserve"> percent</w:t>
      </w:r>
      <w:r w:rsidRPr="00F40195">
        <w:rPr>
          <w:rFonts w:cs="Times New Roman"/>
          <w:iCs/>
        </w:rPr>
        <w:t xml:space="preserve">. This increased reliance on federal funding for education, both in Kentucky and on a national level, can be traced to two developments. First, in 2009 the federal government passed the American Recovery and Reinvestment Act that pumped an additional $70 billion into K-12 education between 2008-2009 and 2011-12 (Education Commission of the States, 2009). At this same time, most states were decreasing their own budgetary commitment to K-12 education. These two factors worked to </w:t>
      </w:r>
      <w:r w:rsidR="002650E0" w:rsidRPr="00F40195">
        <w:rPr>
          <w:rFonts w:cs="Times New Roman"/>
          <w:iCs/>
        </w:rPr>
        <w:t>increase the</w:t>
      </w:r>
      <w:r w:rsidRPr="00F40195">
        <w:rPr>
          <w:rFonts w:cs="Times New Roman"/>
          <w:iCs/>
        </w:rPr>
        <w:t xml:space="preserve"> percentage of funds that are derived from federal sources. For a state-by-state breakdown see Table 2.16.  </w:t>
      </w:r>
    </w:p>
    <w:p w:rsidR="00F02794" w:rsidRPr="00F40195" w:rsidRDefault="00F02794" w:rsidP="00F40195">
      <w:pPr>
        <w:spacing w:line="240" w:lineRule="auto"/>
        <w:rPr>
          <w:rFonts w:cs="Times New Roman"/>
          <w:iCs/>
        </w:rPr>
      </w:pPr>
      <w:r w:rsidRPr="00F40195">
        <w:rPr>
          <w:rFonts w:cs="Times New Roman"/>
          <w:i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Table 2.16</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K-12 Funding From Federal Sources</w:t>
      </w:r>
    </w:p>
    <w:p w:rsidR="009118E4" w:rsidRPr="00F40195" w:rsidRDefault="009118E4" w:rsidP="009118E4">
      <w:pPr>
        <w:widowControl w:val="0"/>
        <w:autoSpaceDE w:val="0"/>
        <w:autoSpaceDN w:val="0"/>
        <w:adjustRightInd w:val="0"/>
        <w:spacing w:line="240" w:lineRule="auto"/>
        <w:jc w:val="center"/>
        <w:rPr>
          <w:rFonts w:cs="Times New Roman"/>
          <w:iCs/>
        </w:rPr>
      </w:pPr>
    </w:p>
    <w:tbl>
      <w:tblPr>
        <w:tblStyle w:val="TableGrid"/>
        <w:tblW w:w="0" w:type="auto"/>
        <w:tblLook w:val="04A0" w:firstRow="1" w:lastRow="0" w:firstColumn="1" w:lastColumn="0" w:noHBand="0" w:noVBand="1"/>
      </w:tblPr>
      <w:tblGrid>
        <w:gridCol w:w="2952"/>
        <w:gridCol w:w="2952"/>
        <w:gridCol w:w="2952"/>
      </w:tblGrid>
      <w:tr w:rsidR="00F02794" w:rsidRPr="00F40195" w:rsidTr="002F335C">
        <w:trPr>
          <w:trHeight w:val="432"/>
        </w:trPr>
        <w:tc>
          <w:tcPr>
            <w:tcW w:w="2952" w:type="dxa"/>
            <w:vMerge w:val="restart"/>
            <w:vAlign w:val="center"/>
          </w:tcPr>
          <w:p w:rsidR="00F02794" w:rsidRPr="00F40195" w:rsidRDefault="00F02794" w:rsidP="00F40195">
            <w:pPr>
              <w:widowControl w:val="0"/>
              <w:autoSpaceDE w:val="0"/>
              <w:autoSpaceDN w:val="0"/>
              <w:adjustRightInd w:val="0"/>
              <w:spacing w:after="240"/>
              <w:contextualSpacing/>
            </w:pPr>
          </w:p>
        </w:tc>
        <w:tc>
          <w:tcPr>
            <w:tcW w:w="5904" w:type="dxa"/>
            <w:gridSpan w:val="2"/>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Percentage of K-12 Funding From Federal Sources   </w:t>
            </w:r>
            <w:r w:rsidRPr="00F40195">
              <w:rPr>
                <w:i/>
              </w:rPr>
              <w:t>(National Rank)</w:t>
            </w:r>
          </w:p>
        </w:tc>
      </w:tr>
      <w:tr w:rsidR="00F02794" w:rsidRPr="00F40195" w:rsidTr="002F335C">
        <w:trPr>
          <w:trHeight w:val="432"/>
        </w:trPr>
        <w:tc>
          <w:tcPr>
            <w:tcW w:w="2952" w:type="dxa"/>
            <w:vMerge/>
            <w:vAlign w:val="center"/>
          </w:tcPr>
          <w:p w:rsidR="00F02794" w:rsidRPr="00F40195" w:rsidRDefault="00F02794" w:rsidP="00F40195">
            <w:pPr>
              <w:widowControl w:val="0"/>
              <w:autoSpaceDE w:val="0"/>
              <w:autoSpaceDN w:val="0"/>
              <w:adjustRightInd w:val="0"/>
              <w:spacing w:after="240"/>
              <w:contextualSpacing/>
            </w:pPr>
          </w:p>
        </w:tc>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2001-2002</w:t>
            </w:r>
          </w:p>
        </w:tc>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2010-2011</w:t>
            </w:r>
          </w:p>
        </w:tc>
      </w:tr>
      <w:tr w:rsidR="00F02794" w:rsidRPr="00F40195" w:rsidTr="002F335C">
        <w:trPr>
          <w:trHeight w:val="432"/>
        </w:trPr>
        <w:tc>
          <w:tcPr>
            <w:tcW w:w="2952"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2952"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7.8%</w:t>
            </w:r>
          </w:p>
        </w:tc>
        <w:tc>
          <w:tcPr>
            <w:tcW w:w="2952"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12.3%</w:t>
            </w:r>
          </w:p>
        </w:tc>
      </w:tr>
      <w:tr w:rsidR="003A6BA6" w:rsidRPr="00F40195" w:rsidTr="002F335C">
        <w:trPr>
          <w:trHeight w:val="432"/>
        </w:trPr>
        <w:tc>
          <w:tcPr>
            <w:tcW w:w="2952" w:type="dxa"/>
            <w:tcBorders>
              <w:bottom w:val="thinThickSmallGap" w:sz="24" w:space="0" w:color="auto"/>
            </w:tcBorders>
            <w:vAlign w:val="center"/>
          </w:tcPr>
          <w:p w:rsidR="003A6BA6" w:rsidRPr="00F40195" w:rsidRDefault="003A6BA6" w:rsidP="00F40195">
            <w:pPr>
              <w:widowControl w:val="0"/>
              <w:autoSpaceDE w:val="0"/>
              <w:autoSpaceDN w:val="0"/>
              <w:adjustRightInd w:val="0"/>
              <w:spacing w:after="240"/>
              <w:contextualSpacing/>
              <w:jc w:val="center"/>
            </w:pPr>
            <w:r>
              <w:t>Comparative States</w:t>
            </w:r>
          </w:p>
        </w:tc>
        <w:tc>
          <w:tcPr>
            <w:tcW w:w="2952" w:type="dxa"/>
            <w:tcBorders>
              <w:bottom w:val="thinThickSmallGap" w:sz="24" w:space="0" w:color="auto"/>
            </w:tcBorders>
            <w:vAlign w:val="center"/>
          </w:tcPr>
          <w:p w:rsidR="003A6BA6" w:rsidRPr="00F40195" w:rsidRDefault="003A6BA6" w:rsidP="00F40195">
            <w:pPr>
              <w:widowControl w:val="0"/>
              <w:autoSpaceDE w:val="0"/>
              <w:autoSpaceDN w:val="0"/>
              <w:adjustRightInd w:val="0"/>
              <w:spacing w:after="240"/>
              <w:contextualSpacing/>
              <w:jc w:val="center"/>
            </w:pPr>
            <w:r>
              <w:t>7.4%</w:t>
            </w:r>
          </w:p>
        </w:tc>
        <w:tc>
          <w:tcPr>
            <w:tcW w:w="2952" w:type="dxa"/>
            <w:tcBorders>
              <w:bottom w:val="thinThickSmallGap" w:sz="24" w:space="0" w:color="auto"/>
            </w:tcBorders>
            <w:vAlign w:val="center"/>
          </w:tcPr>
          <w:p w:rsidR="003A6BA6" w:rsidRPr="00F40195" w:rsidRDefault="003A6BA6" w:rsidP="00F40195">
            <w:pPr>
              <w:widowControl w:val="0"/>
              <w:autoSpaceDE w:val="0"/>
              <w:autoSpaceDN w:val="0"/>
              <w:adjustRightInd w:val="0"/>
              <w:spacing w:after="240"/>
              <w:contextualSpacing/>
              <w:jc w:val="center"/>
            </w:pPr>
            <w:r>
              <w:t>12.4%</w:t>
            </w:r>
          </w:p>
        </w:tc>
      </w:tr>
      <w:tr w:rsidR="00F02794" w:rsidRPr="00F40195" w:rsidTr="002F335C">
        <w:trPr>
          <w:trHeight w:val="432"/>
        </w:trPr>
        <w:tc>
          <w:tcPr>
            <w:tcW w:w="2952"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2952"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10.5% (12)</w:t>
            </w:r>
          </w:p>
        </w:tc>
        <w:tc>
          <w:tcPr>
            <w:tcW w:w="2952"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right"/>
            </w:pPr>
            <w:r w:rsidRPr="00F40195">
              <w:t>16.4% (8)</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9.9% (14)</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14.6% (16)</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10.6% (11)</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16.0% (10)</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5.8% (43)</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8.6% (43)</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7.4% (31)</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13.7% (23)</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5.6% (44)</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11.1% (33)</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9.6% (16)</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14.7% (15)</w:t>
            </w:r>
          </w:p>
        </w:tc>
      </w:tr>
      <w:tr w:rsidR="00F02794" w:rsidRPr="00F40195" w:rsidTr="002F335C">
        <w:trPr>
          <w:trHeight w:val="432"/>
        </w:trPr>
        <w:tc>
          <w:tcPr>
            <w:tcW w:w="2952"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10.7% (10)</w:t>
            </w:r>
          </w:p>
        </w:tc>
        <w:tc>
          <w:tcPr>
            <w:tcW w:w="2952" w:type="dxa"/>
            <w:vAlign w:val="center"/>
          </w:tcPr>
          <w:p w:rsidR="00F02794" w:rsidRPr="00F40195" w:rsidRDefault="00F02794" w:rsidP="00F40195">
            <w:pPr>
              <w:widowControl w:val="0"/>
              <w:autoSpaceDE w:val="0"/>
              <w:autoSpaceDN w:val="0"/>
              <w:adjustRightInd w:val="0"/>
              <w:spacing w:after="240"/>
              <w:contextualSpacing/>
              <w:jc w:val="right"/>
            </w:pPr>
            <w:r w:rsidRPr="00F40195">
              <w:t>14.7% (15)</w:t>
            </w:r>
          </w:p>
        </w:tc>
      </w:tr>
    </w:tbl>
    <w:p w:rsidR="00F02794" w:rsidRPr="00F40195" w:rsidRDefault="00F02794" w:rsidP="00F40195">
      <w:pPr>
        <w:widowControl w:val="0"/>
        <w:autoSpaceDE w:val="0"/>
        <w:autoSpaceDN w:val="0"/>
        <w:adjustRightInd w:val="0"/>
        <w:spacing w:after="240" w:line="240" w:lineRule="auto"/>
        <w:rPr>
          <w:rFonts w:cs="Times New Roman"/>
        </w:rPr>
      </w:pPr>
    </w:p>
    <w:p w:rsidR="00F02794" w:rsidRPr="00F40195" w:rsidRDefault="00F02794" w:rsidP="007850BB">
      <w:pPr>
        <w:pStyle w:val="Heading3"/>
      </w:pPr>
      <w:bookmarkStart w:id="59" w:name="_Toc395180664"/>
      <w:bookmarkStart w:id="60" w:name="_Toc385250722"/>
      <w:r w:rsidRPr="00F40195">
        <w:t>E</w:t>
      </w:r>
      <w:r w:rsidR="007850BB">
        <w:t>ducational Outcomes</w:t>
      </w:r>
      <w:bookmarkEnd w:id="59"/>
      <w:r w:rsidR="007850BB">
        <w:t xml:space="preserve"> </w:t>
      </w:r>
      <w:bookmarkEnd w:id="60"/>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 xml:space="preserve">Overall, Kentucky’s students </w:t>
      </w:r>
      <w:r w:rsidR="00E24700">
        <w:rPr>
          <w:rFonts w:cs="Times New Roman"/>
        </w:rPr>
        <w:t>perform</w:t>
      </w:r>
      <w:r w:rsidRPr="00F40195">
        <w:rPr>
          <w:rFonts w:cs="Times New Roman"/>
        </w:rPr>
        <w:t xml:space="preserve"> slightly above average on standardized tests compared to students in the United States, and are at about the average in performance among the eight comparative states. Below we show how Kentucky compares on the National Assessment of Educational Progress (NAEP).</w:t>
      </w:r>
    </w:p>
    <w:p w:rsidR="00F02794" w:rsidRPr="00F40195" w:rsidRDefault="00F02794" w:rsidP="008D674A">
      <w:pPr>
        <w:pStyle w:val="Heading3"/>
      </w:pPr>
      <w:bookmarkStart w:id="61" w:name="_Toc385250723"/>
      <w:bookmarkStart w:id="62" w:name="_Toc395180665"/>
      <w:r w:rsidRPr="00F40195">
        <w:t>National Assessment of Educational Progress</w:t>
      </w:r>
      <w:bookmarkEnd w:id="61"/>
      <w:bookmarkEnd w:id="62"/>
    </w:p>
    <w:p w:rsidR="00F02794" w:rsidRPr="00F40195" w:rsidRDefault="002650E0" w:rsidP="00F40195">
      <w:pPr>
        <w:widowControl w:val="0"/>
        <w:autoSpaceDE w:val="0"/>
        <w:autoSpaceDN w:val="0"/>
        <w:adjustRightInd w:val="0"/>
        <w:spacing w:after="240" w:line="240" w:lineRule="auto"/>
        <w:rPr>
          <w:rFonts w:cs="Times New Roman"/>
        </w:rPr>
      </w:pPr>
      <w:r w:rsidRPr="00F40195">
        <w:rPr>
          <w:rFonts w:cs="Times New Roman"/>
        </w:rPr>
        <w:t>NAEP</w:t>
      </w:r>
      <w:r w:rsidR="00F02794" w:rsidRPr="00F40195">
        <w:rPr>
          <w:rFonts w:cs="Times New Roman"/>
          <w:i/>
          <w:iCs/>
        </w:rPr>
        <w:t xml:space="preserve"> </w:t>
      </w:r>
      <w:r w:rsidR="00F02794" w:rsidRPr="00F40195">
        <w:rPr>
          <w:rFonts w:cs="Times New Roman"/>
        </w:rPr>
        <w:t xml:space="preserve">assessments </w:t>
      </w:r>
      <w:r w:rsidR="00E24700">
        <w:rPr>
          <w:rFonts w:cs="Times New Roman"/>
        </w:rPr>
        <w:t>are</w:t>
      </w:r>
      <w:r w:rsidR="00F02794" w:rsidRPr="00F40195">
        <w:rPr>
          <w:rFonts w:cs="Times New Roman"/>
        </w:rPr>
        <w:t xml:space="preserve"> administered periodically to students in reading, mathematics, science, writing, U.S. history, civics, geography, and other subjects since 1969</w:t>
      </w:r>
      <w:r w:rsidR="009309B0">
        <w:rPr>
          <w:rFonts w:cs="Times New Roman"/>
        </w:rPr>
        <w:t xml:space="preserve"> (NCES, 2013)</w:t>
      </w:r>
      <w:r w:rsidR="00F02794" w:rsidRPr="00F40195">
        <w:rPr>
          <w:rFonts w:cs="Times New Roman"/>
        </w:rPr>
        <w:t>.</w:t>
      </w:r>
      <w:r w:rsidR="00F02794" w:rsidRPr="00F40195">
        <w:rPr>
          <w:rFonts w:cs="Times New Roman"/>
          <w:i/>
          <w:iCs/>
          <w:position w:val="16"/>
        </w:rPr>
        <w:t xml:space="preserve"> </w:t>
      </w:r>
      <w:r w:rsidR="00F02794" w:rsidRPr="00F40195">
        <w:rPr>
          <w:rFonts w:cs="Times New Roman"/>
        </w:rPr>
        <w:t>Federal law now requires all states that receive Title I funds – which currently all states receive – to participate in NAEP reading and mathematics assessments at fourth and eighth grades (NAEP, 201</w:t>
      </w:r>
      <w:r w:rsidR="00BA322E" w:rsidRPr="00F40195">
        <w:rPr>
          <w:rFonts w:cs="Times New Roman"/>
        </w:rPr>
        <w:t>3)</w:t>
      </w:r>
      <w:r w:rsidR="00F02794" w:rsidRPr="00F40195">
        <w:rPr>
          <w:rFonts w:cs="Times New Roman"/>
        </w:rPr>
        <w:t>. Because of this comparable fourth and eighth grade math and reading NAEP results</w:t>
      </w:r>
      <w:r w:rsidR="00EA6320">
        <w:rPr>
          <w:rFonts w:cs="Times New Roman"/>
        </w:rPr>
        <w:t xml:space="preserve"> exist</w:t>
      </w:r>
      <w:r w:rsidR="00F02794" w:rsidRPr="00F40195">
        <w:rPr>
          <w:rFonts w:cs="Times New Roman"/>
        </w:rPr>
        <w:t xml:space="preserve"> for all states for the 2003, 2005, 2007, 2009, 2011 and 2013 assessments.</w:t>
      </w:r>
    </w:p>
    <w:p w:rsidR="00F02794" w:rsidRPr="00F40195" w:rsidRDefault="00F02794" w:rsidP="008D674A">
      <w:pPr>
        <w:pStyle w:val="Heading3"/>
      </w:pPr>
      <w:bookmarkStart w:id="63" w:name="_Toc385250724"/>
      <w:bookmarkStart w:id="64" w:name="_Toc395180666"/>
      <w:r w:rsidRPr="00F40195">
        <w:t>NAEP - Scale Scores</w:t>
      </w:r>
      <w:bookmarkEnd w:id="63"/>
      <w:bookmarkEnd w:id="64"/>
    </w:p>
    <w:p w:rsidR="00F02794" w:rsidRDefault="00F02794" w:rsidP="00E2519A">
      <w:pPr>
        <w:widowControl w:val="0"/>
        <w:autoSpaceDE w:val="0"/>
        <w:autoSpaceDN w:val="0"/>
        <w:adjustRightInd w:val="0"/>
        <w:spacing w:line="240" w:lineRule="auto"/>
        <w:contextualSpacing/>
        <w:rPr>
          <w:rFonts w:cs="Times New Roman"/>
        </w:rPr>
      </w:pPr>
      <w:r w:rsidRPr="00F40195">
        <w:rPr>
          <w:rFonts w:cs="Times New Roman"/>
        </w:rPr>
        <w:t>Cross state comparisons using NAEP data can be made using average scale scores, or student achievement levels. When reviewing Kentucky's average scale scores on the NAEP Math and Reading exams for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there are some positive conclusions and some areas </w:t>
      </w:r>
      <w:r w:rsidRPr="00F40195">
        <w:rPr>
          <w:rFonts w:cs="Times New Roman"/>
        </w:rPr>
        <w:lastRenderedPageBreak/>
        <w:t>where the results suggest more can be done. Overall, a review of NAEP scores from 2003-</w:t>
      </w:r>
      <w:r w:rsidR="00060C93" w:rsidRPr="00F40195">
        <w:rPr>
          <w:rFonts w:cs="Times New Roman"/>
        </w:rPr>
        <w:t xml:space="preserve">2013 </w:t>
      </w:r>
      <w:r w:rsidRPr="00F40195">
        <w:rPr>
          <w:rFonts w:cs="Times New Roman"/>
        </w:rPr>
        <w:t>show</w:t>
      </w:r>
      <w:r w:rsidR="00E24700">
        <w:rPr>
          <w:rFonts w:cs="Times New Roman"/>
        </w:rPr>
        <w:t xml:space="preserve"> positives and areas of concern.</w:t>
      </w:r>
    </w:p>
    <w:p w:rsidR="00E2519A" w:rsidRPr="00F40195" w:rsidRDefault="00E2519A" w:rsidP="00E2519A">
      <w:pPr>
        <w:widowControl w:val="0"/>
        <w:autoSpaceDE w:val="0"/>
        <w:autoSpaceDN w:val="0"/>
        <w:adjustRightInd w:val="0"/>
        <w:spacing w:line="240" w:lineRule="auto"/>
        <w:contextualSpacing/>
        <w:rPr>
          <w:rFonts w:cs="Times New Roman"/>
        </w:rPr>
      </w:pPr>
    </w:p>
    <w:p w:rsidR="00F02794" w:rsidRPr="00F40195" w:rsidRDefault="00F02794" w:rsidP="00E2519A">
      <w:pPr>
        <w:widowControl w:val="0"/>
        <w:autoSpaceDE w:val="0"/>
        <w:autoSpaceDN w:val="0"/>
        <w:adjustRightInd w:val="0"/>
        <w:spacing w:line="240" w:lineRule="auto"/>
        <w:contextualSpacing/>
        <w:rPr>
          <w:rFonts w:cs="Times New Roman"/>
        </w:rPr>
      </w:pPr>
      <w:r w:rsidRPr="00F40195">
        <w:rPr>
          <w:rFonts w:cs="Times New Roman"/>
        </w:rPr>
        <w:t>Positives:</w:t>
      </w:r>
    </w:p>
    <w:p w:rsidR="00F02794" w:rsidRPr="00F40195" w:rsidRDefault="00F02794" w:rsidP="00E2519A">
      <w:pPr>
        <w:pStyle w:val="ListParagraph"/>
        <w:widowControl w:val="0"/>
        <w:numPr>
          <w:ilvl w:val="0"/>
          <w:numId w:val="40"/>
        </w:numPr>
        <w:tabs>
          <w:tab w:val="left" w:pos="220"/>
          <w:tab w:val="left" w:pos="720"/>
        </w:tabs>
        <w:autoSpaceDE w:val="0"/>
        <w:autoSpaceDN w:val="0"/>
        <w:adjustRightInd w:val="0"/>
        <w:spacing w:line="240" w:lineRule="auto"/>
        <w:rPr>
          <w:rFonts w:cs="Times New Roman"/>
        </w:rPr>
      </w:pPr>
      <w:r w:rsidRPr="00F40195">
        <w:rPr>
          <w:rFonts w:cs="Times New Roman"/>
        </w:rPr>
        <w:t>In every year that was reviewed, Kentucky’s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reading scores were above the national average </w:t>
      </w:r>
    </w:p>
    <w:p w:rsidR="00F02794" w:rsidRPr="00F40195" w:rsidRDefault="00F02794" w:rsidP="00E2519A">
      <w:pPr>
        <w:pStyle w:val="ListParagraph"/>
        <w:widowControl w:val="0"/>
        <w:numPr>
          <w:ilvl w:val="0"/>
          <w:numId w:val="40"/>
        </w:numPr>
        <w:tabs>
          <w:tab w:val="left" w:pos="220"/>
          <w:tab w:val="left" w:pos="720"/>
        </w:tabs>
        <w:autoSpaceDE w:val="0"/>
        <w:autoSpaceDN w:val="0"/>
        <w:adjustRightInd w:val="0"/>
        <w:spacing w:line="240" w:lineRule="auto"/>
        <w:rPr>
          <w:rFonts w:cs="Times New Roman"/>
        </w:rPr>
      </w:pPr>
      <w:r w:rsidRPr="00F40195">
        <w:rPr>
          <w:rFonts w:cs="Times New Roman"/>
        </w:rPr>
        <w:t>Kentucky’s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reading scores ranked 1</w:t>
      </w:r>
      <w:r w:rsidRPr="00F40195">
        <w:rPr>
          <w:rFonts w:cs="Times New Roman"/>
          <w:vertAlign w:val="superscript"/>
        </w:rPr>
        <w:t>st</w:t>
      </w:r>
      <w:r w:rsidRPr="00F40195">
        <w:rPr>
          <w:rFonts w:cs="Times New Roman"/>
        </w:rPr>
        <w:t xml:space="preserve"> among comparable states</w:t>
      </w:r>
    </w:p>
    <w:p w:rsidR="00F02794" w:rsidRPr="00E2519A" w:rsidRDefault="00F02794" w:rsidP="00E2519A">
      <w:pPr>
        <w:pStyle w:val="ListParagraph"/>
        <w:widowControl w:val="0"/>
        <w:numPr>
          <w:ilvl w:val="0"/>
          <w:numId w:val="40"/>
        </w:numPr>
        <w:tabs>
          <w:tab w:val="left" w:pos="220"/>
          <w:tab w:val="left" w:pos="720"/>
        </w:tabs>
        <w:autoSpaceDE w:val="0"/>
        <w:autoSpaceDN w:val="0"/>
        <w:adjustRightInd w:val="0"/>
        <w:spacing w:after="320" w:line="240" w:lineRule="auto"/>
        <w:rPr>
          <w:rFonts w:cs="Times New Roman"/>
        </w:rPr>
      </w:pPr>
      <w:r w:rsidRPr="00F40195">
        <w:rPr>
          <w:rFonts w:cs="Times New Roman"/>
        </w:rPr>
        <w:t>Kentucky’s test scores for both math and reading in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improved from 2003 to 2013</w:t>
      </w:r>
    </w:p>
    <w:p w:rsidR="00F02794" w:rsidRPr="009118E4" w:rsidRDefault="00F02794" w:rsidP="009118E4">
      <w:pPr>
        <w:widowControl w:val="0"/>
        <w:tabs>
          <w:tab w:val="left" w:pos="220"/>
          <w:tab w:val="left" w:pos="720"/>
        </w:tabs>
        <w:autoSpaceDE w:val="0"/>
        <w:autoSpaceDN w:val="0"/>
        <w:adjustRightInd w:val="0"/>
        <w:spacing w:after="320" w:line="240" w:lineRule="auto"/>
        <w:jc w:val="center"/>
        <w:rPr>
          <w:rFonts w:cs="Times New Roman"/>
        </w:rPr>
      </w:pPr>
      <w:r w:rsidRPr="00844962">
        <w:rPr>
          <w:rFonts w:cs="Times New Roman"/>
          <w:b/>
        </w:rPr>
        <w:t xml:space="preserve">Kentucky NAEP – Math &amp; Reading Scores </w:t>
      </w:r>
      <w:r w:rsidRPr="009118E4">
        <w:rPr>
          <w:rFonts w:cs="Times New Roman"/>
          <w:i/>
        </w:rPr>
        <w:t>(National Rank)</w:t>
      </w:r>
    </w:p>
    <w:tbl>
      <w:tblPr>
        <w:tblStyle w:val="TableGrid"/>
        <w:tblW w:w="0" w:type="auto"/>
        <w:jc w:val="center"/>
        <w:tblLook w:val="04A0" w:firstRow="1" w:lastRow="0" w:firstColumn="1" w:lastColumn="0" w:noHBand="0" w:noVBand="1"/>
      </w:tblPr>
      <w:tblGrid>
        <w:gridCol w:w="2160"/>
        <w:gridCol w:w="1080"/>
        <w:gridCol w:w="1080"/>
      </w:tblGrid>
      <w:tr w:rsidR="00F02794" w:rsidRPr="00F40195" w:rsidTr="009118E4">
        <w:trPr>
          <w:jc w:val="center"/>
        </w:trPr>
        <w:tc>
          <w:tcPr>
            <w:tcW w:w="21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p>
        </w:tc>
        <w:tc>
          <w:tcPr>
            <w:tcW w:w="108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rPr>
                <w:b/>
              </w:rPr>
            </w:pPr>
            <w:r w:rsidRPr="00F40195">
              <w:rPr>
                <w:b/>
              </w:rPr>
              <w:t>2003</w:t>
            </w:r>
          </w:p>
        </w:tc>
        <w:tc>
          <w:tcPr>
            <w:tcW w:w="1080"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rPr>
                <w:b/>
              </w:rPr>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rPr>
                <w:b/>
              </w:rPr>
            </w:pPr>
            <w:r w:rsidRPr="00F40195">
              <w:rPr>
                <w:b/>
              </w:rPr>
              <w:t>2013</w:t>
            </w:r>
          </w:p>
        </w:tc>
      </w:tr>
      <w:tr w:rsidR="00F02794" w:rsidRPr="00F40195" w:rsidTr="009118E4">
        <w:trPr>
          <w:jc w:val="center"/>
        </w:trPr>
        <w:tc>
          <w:tcPr>
            <w:tcW w:w="21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Math – 4</w:t>
            </w:r>
            <w:r w:rsidRPr="00F40195">
              <w:rPr>
                <w:vertAlign w:val="superscript"/>
              </w:rPr>
              <w:t>th</w:t>
            </w:r>
            <w:r w:rsidRPr="00F40195">
              <w:t xml:space="preserve"> Grade</w:t>
            </w:r>
          </w:p>
        </w:tc>
        <w:tc>
          <w:tcPr>
            <w:tcW w:w="108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237 (19)</w:t>
            </w:r>
          </w:p>
        </w:tc>
        <w:tc>
          <w:tcPr>
            <w:tcW w:w="1080"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245 (18)</w:t>
            </w:r>
          </w:p>
        </w:tc>
      </w:tr>
      <w:tr w:rsidR="00F02794" w:rsidRPr="00F40195" w:rsidTr="009118E4">
        <w:trPr>
          <w:jc w:val="center"/>
        </w:trPr>
        <w:tc>
          <w:tcPr>
            <w:tcW w:w="21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Math – 8</w:t>
            </w:r>
            <w:r w:rsidRPr="00F40195">
              <w:rPr>
                <w:vertAlign w:val="superscript"/>
              </w:rPr>
              <w:t>th</w:t>
            </w:r>
            <w:r w:rsidRPr="00F40195">
              <w:t xml:space="preserve"> Grade</w:t>
            </w:r>
          </w:p>
        </w:tc>
        <w:tc>
          <w:tcPr>
            <w:tcW w:w="108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274 (35)</w:t>
            </w:r>
          </w:p>
        </w:tc>
        <w:tc>
          <w:tcPr>
            <w:tcW w:w="1080"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p>
          <w:p w:rsidR="00F02794" w:rsidRPr="00F40195" w:rsidRDefault="00F02794" w:rsidP="00CD7BC3">
            <w:pPr>
              <w:pStyle w:val="ListParagraph"/>
              <w:widowControl w:val="0"/>
              <w:tabs>
                <w:tab w:val="left" w:pos="220"/>
                <w:tab w:val="left" w:pos="720"/>
              </w:tabs>
              <w:autoSpaceDE w:val="0"/>
              <w:autoSpaceDN w:val="0"/>
              <w:adjustRightInd w:val="0"/>
              <w:spacing w:after="320"/>
              <w:ind w:left="0"/>
              <w:jc w:val="right"/>
            </w:pPr>
            <w:r w:rsidRPr="00F40195">
              <w:t>28</w:t>
            </w:r>
            <w:r w:rsidR="00CD7BC3">
              <w:t>1</w:t>
            </w:r>
            <w:r w:rsidR="006B66B0" w:rsidRPr="00F40195">
              <w:t xml:space="preserve"> (35</w:t>
            </w:r>
            <w:r w:rsidRPr="00F40195">
              <w:t>)</w:t>
            </w:r>
          </w:p>
        </w:tc>
      </w:tr>
      <w:tr w:rsidR="00F02794" w:rsidRPr="00F40195" w:rsidTr="009118E4">
        <w:trPr>
          <w:jc w:val="center"/>
        </w:trPr>
        <w:tc>
          <w:tcPr>
            <w:tcW w:w="21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Reading – 4</w:t>
            </w:r>
            <w:r w:rsidRPr="00F40195">
              <w:rPr>
                <w:vertAlign w:val="superscript"/>
              </w:rPr>
              <w:t>th</w:t>
            </w:r>
            <w:r w:rsidRPr="00F40195">
              <w:t xml:space="preserve"> Grade</w:t>
            </w:r>
          </w:p>
        </w:tc>
        <w:tc>
          <w:tcPr>
            <w:tcW w:w="108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219 (27)</w:t>
            </w:r>
          </w:p>
        </w:tc>
        <w:tc>
          <w:tcPr>
            <w:tcW w:w="1080"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224 (17)</w:t>
            </w:r>
          </w:p>
        </w:tc>
      </w:tr>
      <w:tr w:rsidR="00F02794" w:rsidRPr="00F40195" w:rsidTr="009118E4">
        <w:trPr>
          <w:jc w:val="center"/>
        </w:trPr>
        <w:tc>
          <w:tcPr>
            <w:tcW w:w="21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Reading – 8</w:t>
            </w:r>
            <w:r w:rsidRPr="00F40195">
              <w:rPr>
                <w:vertAlign w:val="superscript"/>
              </w:rPr>
              <w:t>th</w:t>
            </w:r>
            <w:r w:rsidRPr="00F40195">
              <w:t xml:space="preserve"> Grade</w:t>
            </w:r>
          </w:p>
        </w:tc>
        <w:tc>
          <w:tcPr>
            <w:tcW w:w="108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266 (20)</w:t>
            </w:r>
          </w:p>
        </w:tc>
        <w:tc>
          <w:tcPr>
            <w:tcW w:w="1080"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right"/>
            </w:pPr>
            <w:r w:rsidRPr="00F40195">
              <w:t>270 (15)</w:t>
            </w:r>
          </w:p>
        </w:tc>
      </w:tr>
    </w:tbl>
    <w:p w:rsidR="00F02794" w:rsidRPr="00F40195" w:rsidRDefault="00F02794" w:rsidP="00E2519A">
      <w:pPr>
        <w:widowControl w:val="0"/>
        <w:tabs>
          <w:tab w:val="left" w:pos="220"/>
          <w:tab w:val="left" w:pos="720"/>
        </w:tabs>
        <w:autoSpaceDE w:val="0"/>
        <w:autoSpaceDN w:val="0"/>
        <w:adjustRightInd w:val="0"/>
        <w:spacing w:line="240" w:lineRule="auto"/>
        <w:contextualSpacing/>
        <w:rPr>
          <w:rFonts w:cs="Times New Roman"/>
        </w:rPr>
      </w:pPr>
    </w:p>
    <w:p w:rsidR="00F02794" w:rsidRPr="00F40195" w:rsidRDefault="00F02794" w:rsidP="00E2519A">
      <w:pPr>
        <w:widowControl w:val="0"/>
        <w:tabs>
          <w:tab w:val="left" w:pos="220"/>
          <w:tab w:val="left" w:pos="720"/>
        </w:tabs>
        <w:autoSpaceDE w:val="0"/>
        <w:autoSpaceDN w:val="0"/>
        <w:adjustRightInd w:val="0"/>
        <w:spacing w:line="240" w:lineRule="auto"/>
        <w:contextualSpacing/>
        <w:rPr>
          <w:rFonts w:cs="Times New Roman"/>
        </w:rPr>
      </w:pPr>
      <w:r w:rsidRPr="00F40195">
        <w:rPr>
          <w:rFonts w:cs="Times New Roman"/>
        </w:rPr>
        <w:t>Areas of Concern:</w:t>
      </w:r>
    </w:p>
    <w:p w:rsidR="00F02794" w:rsidRPr="00F40195" w:rsidRDefault="00F02794" w:rsidP="00E2519A">
      <w:pPr>
        <w:pStyle w:val="ListParagraph"/>
        <w:widowControl w:val="0"/>
        <w:numPr>
          <w:ilvl w:val="0"/>
          <w:numId w:val="41"/>
        </w:numPr>
        <w:tabs>
          <w:tab w:val="left" w:pos="220"/>
          <w:tab w:val="left" w:pos="720"/>
        </w:tabs>
        <w:autoSpaceDE w:val="0"/>
        <w:autoSpaceDN w:val="0"/>
        <w:adjustRightInd w:val="0"/>
        <w:spacing w:line="240" w:lineRule="auto"/>
        <w:ind w:left="1080"/>
        <w:rPr>
          <w:rFonts w:cs="Times New Roman"/>
        </w:rPr>
      </w:pPr>
      <w:r w:rsidRPr="00F40195">
        <w:rPr>
          <w:rFonts w:cs="Times New Roman"/>
        </w:rPr>
        <w:t>Kentucky’s 8</w:t>
      </w:r>
      <w:r w:rsidRPr="00F40195">
        <w:rPr>
          <w:rFonts w:cs="Times New Roman"/>
          <w:vertAlign w:val="superscript"/>
        </w:rPr>
        <w:t>th</w:t>
      </w:r>
      <w:r w:rsidRPr="00F40195">
        <w:rPr>
          <w:rFonts w:cs="Times New Roman"/>
        </w:rPr>
        <w:t xml:space="preserve"> grade math scores consistently finished below the national average between 2003 and 2013.</w:t>
      </w:r>
    </w:p>
    <w:p w:rsidR="00F02794" w:rsidRDefault="00F02794" w:rsidP="00E2519A">
      <w:pPr>
        <w:pStyle w:val="ListParagraph"/>
        <w:widowControl w:val="0"/>
        <w:numPr>
          <w:ilvl w:val="0"/>
          <w:numId w:val="41"/>
        </w:numPr>
        <w:tabs>
          <w:tab w:val="left" w:pos="220"/>
          <w:tab w:val="left" w:pos="720"/>
        </w:tabs>
        <w:autoSpaceDE w:val="0"/>
        <w:autoSpaceDN w:val="0"/>
        <w:adjustRightInd w:val="0"/>
        <w:spacing w:line="240" w:lineRule="auto"/>
        <w:ind w:left="1080"/>
        <w:rPr>
          <w:rFonts w:cs="Times New Roman"/>
        </w:rPr>
      </w:pPr>
      <w:r w:rsidRPr="00F40195">
        <w:rPr>
          <w:rFonts w:cs="Times New Roman"/>
        </w:rPr>
        <w:t xml:space="preserve">Test results for 2013 show that students who are eligible for free/reduced price lunch in Kentucky are half as likely to have NAEP test results that are at or above proficient as students who are not eligible for this program </w:t>
      </w:r>
    </w:p>
    <w:p w:rsidR="00E24700" w:rsidRDefault="00E24700">
      <w:pPr>
        <w:rPr>
          <w:rFonts w:cs="Times New Roman"/>
        </w:rPr>
      </w:pPr>
      <w:r>
        <w:rPr>
          <w:rFonts w:cs="Times New Roman"/>
        </w:rPr>
        <w:br w:type="page"/>
      </w:r>
    </w:p>
    <w:p w:rsidR="00E24700" w:rsidRPr="00E24700" w:rsidRDefault="00E24700" w:rsidP="00844962">
      <w:pPr>
        <w:widowControl w:val="0"/>
        <w:tabs>
          <w:tab w:val="left" w:pos="220"/>
          <w:tab w:val="left" w:pos="720"/>
        </w:tabs>
        <w:autoSpaceDE w:val="0"/>
        <w:autoSpaceDN w:val="0"/>
        <w:adjustRightInd w:val="0"/>
        <w:spacing w:after="320" w:line="240" w:lineRule="auto"/>
        <w:rPr>
          <w:rFonts w:cs="Times New Roman"/>
        </w:rPr>
      </w:pPr>
    </w:p>
    <w:p w:rsidR="009118E4" w:rsidRDefault="00F02794" w:rsidP="009118E4">
      <w:pPr>
        <w:pStyle w:val="ListParagraph"/>
        <w:widowControl w:val="0"/>
        <w:tabs>
          <w:tab w:val="left" w:pos="220"/>
          <w:tab w:val="left" w:pos="720"/>
        </w:tabs>
        <w:autoSpaceDE w:val="0"/>
        <w:autoSpaceDN w:val="0"/>
        <w:adjustRightInd w:val="0"/>
        <w:spacing w:after="320" w:line="240" w:lineRule="auto"/>
        <w:ind w:left="1080"/>
        <w:jc w:val="center"/>
        <w:rPr>
          <w:rFonts w:cs="Times New Roman"/>
          <w:b/>
        </w:rPr>
      </w:pPr>
      <w:r w:rsidRPr="00F40195">
        <w:rPr>
          <w:rFonts w:cs="Times New Roman"/>
          <w:b/>
        </w:rPr>
        <w:t>Table 2.17a</w:t>
      </w:r>
    </w:p>
    <w:p w:rsidR="00F02794" w:rsidRDefault="00F02794" w:rsidP="009118E4">
      <w:pPr>
        <w:pStyle w:val="ListParagraph"/>
        <w:widowControl w:val="0"/>
        <w:tabs>
          <w:tab w:val="left" w:pos="220"/>
          <w:tab w:val="left" w:pos="720"/>
        </w:tabs>
        <w:autoSpaceDE w:val="0"/>
        <w:autoSpaceDN w:val="0"/>
        <w:adjustRightInd w:val="0"/>
        <w:spacing w:after="320" w:line="240" w:lineRule="auto"/>
        <w:ind w:left="1080"/>
        <w:jc w:val="center"/>
        <w:rPr>
          <w:rFonts w:cs="Times New Roman"/>
          <w:b/>
        </w:rPr>
      </w:pPr>
      <w:r w:rsidRPr="00F40195">
        <w:rPr>
          <w:rFonts w:cs="Times New Roman"/>
          <w:b/>
        </w:rPr>
        <w:t>Percentage of Students Finishing At or Above Proficient – 2013</w:t>
      </w:r>
    </w:p>
    <w:p w:rsidR="009118E4" w:rsidRPr="00F40195" w:rsidRDefault="009118E4" w:rsidP="00F40195">
      <w:pPr>
        <w:pStyle w:val="ListParagraph"/>
        <w:widowControl w:val="0"/>
        <w:tabs>
          <w:tab w:val="left" w:pos="220"/>
          <w:tab w:val="left" w:pos="720"/>
        </w:tabs>
        <w:autoSpaceDE w:val="0"/>
        <w:autoSpaceDN w:val="0"/>
        <w:adjustRightInd w:val="0"/>
        <w:spacing w:after="320" w:line="240" w:lineRule="auto"/>
        <w:ind w:left="1080"/>
        <w:rPr>
          <w:rFonts w:cs="Times New Roman"/>
          <w:b/>
        </w:rPr>
      </w:pPr>
    </w:p>
    <w:tbl>
      <w:tblPr>
        <w:tblStyle w:val="TableGrid"/>
        <w:tblW w:w="0" w:type="auto"/>
        <w:tblInd w:w="720" w:type="dxa"/>
        <w:tblLook w:val="04A0" w:firstRow="1" w:lastRow="0" w:firstColumn="1" w:lastColumn="0" w:noHBand="0" w:noVBand="1"/>
      </w:tblPr>
      <w:tblGrid>
        <w:gridCol w:w="2268"/>
        <w:gridCol w:w="3060"/>
        <w:gridCol w:w="3528"/>
      </w:tblGrid>
      <w:tr w:rsidR="00F02794" w:rsidRPr="00F40195" w:rsidTr="002F335C">
        <w:trPr>
          <w:trHeight w:val="1214"/>
        </w:trPr>
        <w:tc>
          <w:tcPr>
            <w:tcW w:w="2268" w:type="dxa"/>
          </w:tcPr>
          <w:p w:rsidR="00F02794" w:rsidRPr="00F40195" w:rsidRDefault="00F02794" w:rsidP="00F40195">
            <w:pPr>
              <w:pStyle w:val="ListParagraph"/>
              <w:widowControl w:val="0"/>
              <w:tabs>
                <w:tab w:val="left" w:pos="220"/>
                <w:tab w:val="left" w:pos="720"/>
              </w:tabs>
              <w:autoSpaceDE w:val="0"/>
              <w:autoSpaceDN w:val="0"/>
              <w:adjustRightInd w:val="0"/>
              <w:spacing w:after="320"/>
              <w:ind w:left="0"/>
            </w:pPr>
          </w:p>
        </w:tc>
        <w:tc>
          <w:tcPr>
            <w:tcW w:w="30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Students Eligible for Free/Reduced Price Lunch</w:t>
            </w:r>
          </w:p>
        </w:tc>
        <w:tc>
          <w:tcPr>
            <w:tcW w:w="3528"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Students Not Eligible for Free/Reduced Price Lunch</w:t>
            </w:r>
          </w:p>
        </w:tc>
      </w:tr>
      <w:tr w:rsidR="00F02794" w:rsidRPr="00F40195" w:rsidTr="002F335C">
        <w:tc>
          <w:tcPr>
            <w:tcW w:w="2268"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4</w:t>
            </w:r>
            <w:r w:rsidRPr="00F40195">
              <w:rPr>
                <w:vertAlign w:val="superscript"/>
              </w:rPr>
              <w:t>th</w:t>
            </w:r>
            <w:r w:rsidRPr="00F40195">
              <w:t xml:space="preserve"> Grade Math</w:t>
            </w:r>
          </w:p>
        </w:tc>
        <w:tc>
          <w:tcPr>
            <w:tcW w:w="30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28%</w:t>
            </w:r>
          </w:p>
        </w:tc>
        <w:tc>
          <w:tcPr>
            <w:tcW w:w="3528"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56%</w:t>
            </w:r>
          </w:p>
        </w:tc>
      </w:tr>
      <w:tr w:rsidR="00F02794" w:rsidRPr="00F40195" w:rsidTr="002F335C">
        <w:tc>
          <w:tcPr>
            <w:tcW w:w="2268"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8</w:t>
            </w:r>
            <w:r w:rsidRPr="00F40195">
              <w:rPr>
                <w:vertAlign w:val="superscript"/>
              </w:rPr>
              <w:t>th</w:t>
            </w:r>
            <w:r w:rsidRPr="00F40195">
              <w:t xml:space="preserve"> Grade Math</w:t>
            </w:r>
          </w:p>
        </w:tc>
        <w:tc>
          <w:tcPr>
            <w:tcW w:w="30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16%</w:t>
            </w:r>
          </w:p>
        </w:tc>
        <w:tc>
          <w:tcPr>
            <w:tcW w:w="3528"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44%</w:t>
            </w:r>
          </w:p>
        </w:tc>
      </w:tr>
      <w:tr w:rsidR="00F02794" w:rsidRPr="00F40195" w:rsidTr="002F335C">
        <w:tc>
          <w:tcPr>
            <w:tcW w:w="2268"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4</w:t>
            </w:r>
            <w:r w:rsidRPr="00F40195">
              <w:rPr>
                <w:vertAlign w:val="superscript"/>
              </w:rPr>
              <w:t>th</w:t>
            </w:r>
            <w:r w:rsidRPr="00F40195">
              <w:t xml:space="preserve"> Grade Reading</w:t>
            </w:r>
          </w:p>
        </w:tc>
        <w:tc>
          <w:tcPr>
            <w:tcW w:w="30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23%</w:t>
            </w:r>
          </w:p>
        </w:tc>
        <w:tc>
          <w:tcPr>
            <w:tcW w:w="3528"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51%</w:t>
            </w:r>
          </w:p>
        </w:tc>
      </w:tr>
      <w:tr w:rsidR="00F02794" w:rsidRPr="00F40195" w:rsidTr="002F335C">
        <w:tc>
          <w:tcPr>
            <w:tcW w:w="2268"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8</w:t>
            </w:r>
            <w:r w:rsidRPr="00F40195">
              <w:rPr>
                <w:vertAlign w:val="superscript"/>
              </w:rPr>
              <w:t>th</w:t>
            </w:r>
            <w:r w:rsidRPr="00F40195">
              <w:t xml:space="preserve"> Grade Reading</w:t>
            </w:r>
          </w:p>
        </w:tc>
        <w:tc>
          <w:tcPr>
            <w:tcW w:w="3060" w:type="dxa"/>
            <w:vAlign w:val="center"/>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25%</w:t>
            </w:r>
          </w:p>
        </w:tc>
        <w:tc>
          <w:tcPr>
            <w:tcW w:w="3528" w:type="dxa"/>
            <w:vAlign w:val="bottom"/>
          </w:tcPr>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p>
          <w:p w:rsidR="00F02794" w:rsidRPr="00F40195" w:rsidRDefault="00F02794" w:rsidP="00F40195">
            <w:pPr>
              <w:pStyle w:val="ListParagraph"/>
              <w:widowControl w:val="0"/>
              <w:tabs>
                <w:tab w:val="left" w:pos="220"/>
                <w:tab w:val="left" w:pos="720"/>
              </w:tabs>
              <w:autoSpaceDE w:val="0"/>
              <w:autoSpaceDN w:val="0"/>
              <w:adjustRightInd w:val="0"/>
              <w:spacing w:after="320"/>
              <w:ind w:left="0"/>
              <w:jc w:val="center"/>
            </w:pPr>
            <w:r w:rsidRPr="00F40195">
              <w:t>50%</w:t>
            </w:r>
          </w:p>
        </w:tc>
      </w:tr>
    </w:tbl>
    <w:p w:rsidR="00F02794" w:rsidRPr="00F40195" w:rsidRDefault="00F02794" w:rsidP="00F40195">
      <w:pPr>
        <w:pStyle w:val="ListParagraph"/>
        <w:widowControl w:val="0"/>
        <w:tabs>
          <w:tab w:val="left" w:pos="220"/>
          <w:tab w:val="left" w:pos="720"/>
        </w:tabs>
        <w:autoSpaceDE w:val="0"/>
        <w:autoSpaceDN w:val="0"/>
        <w:adjustRightInd w:val="0"/>
        <w:spacing w:after="320" w:line="240" w:lineRule="auto"/>
        <w:rPr>
          <w:rFonts w:cs="Times New Roman"/>
        </w:rPr>
      </w:pPr>
    </w:p>
    <w:p w:rsidR="00F02794" w:rsidRPr="00F40195" w:rsidRDefault="00F02794" w:rsidP="008D674A">
      <w:pPr>
        <w:pStyle w:val="Heading3"/>
      </w:pPr>
      <w:bookmarkStart w:id="65" w:name="_Toc385250725"/>
      <w:bookmarkStart w:id="66" w:name="_Toc395180667"/>
      <w:r w:rsidRPr="00F40195">
        <w:t>NAEP – Student Achievement Levels</w:t>
      </w:r>
      <w:bookmarkEnd w:id="65"/>
      <w:bookmarkEnd w:id="66"/>
    </w:p>
    <w:p w:rsidR="00F02794" w:rsidRPr="00F40195" w:rsidRDefault="00F02794" w:rsidP="00F40195">
      <w:pPr>
        <w:widowControl w:val="0"/>
        <w:autoSpaceDE w:val="0"/>
        <w:autoSpaceDN w:val="0"/>
        <w:adjustRightInd w:val="0"/>
        <w:spacing w:after="240" w:line="240" w:lineRule="auto"/>
        <w:rPr>
          <w:rFonts w:cs="Times New Roman"/>
          <w:b/>
          <w:bCs/>
        </w:rPr>
      </w:pPr>
      <w:r w:rsidRPr="00F40195">
        <w:rPr>
          <w:rFonts w:cs="Times New Roman"/>
        </w:rPr>
        <w:t xml:space="preserve">Student test results are divided into four different student achievement levels – advanced, proficient, </w:t>
      </w:r>
      <w:proofErr w:type="gramStart"/>
      <w:r w:rsidRPr="00F40195">
        <w:rPr>
          <w:rFonts w:cs="Times New Roman"/>
        </w:rPr>
        <w:t>basic</w:t>
      </w:r>
      <w:proofErr w:type="gramEnd"/>
      <w:r w:rsidRPr="00F40195">
        <w:rPr>
          <w:rFonts w:cs="Times New Roman"/>
        </w:rPr>
        <w:t xml:space="preserve"> and below basic. These performance standards are set by the National Assessment Governing Board and provide a context for interpreting student performance on NAEP, based on recommendations from panels of educators and members of the public (NAEP, 2011). </w:t>
      </w:r>
      <w:proofErr w:type="gramStart"/>
      <w:r w:rsidRPr="00F40195">
        <w:rPr>
          <w:rFonts w:cs="Times New Roman"/>
        </w:rPr>
        <w:t>For comparison purposes this study reviewed NAEP student test results that were at or above basic and at or above proficient.</w:t>
      </w:r>
      <w:proofErr w:type="gramEnd"/>
      <w:r w:rsidRPr="00F40195">
        <w:rPr>
          <w:rFonts w:cs="Times New Roman"/>
        </w:rPr>
        <w:t xml:space="preserve"> Table 2.17b shows the results for Kentucky’s students between 2003 and 2013.</w:t>
      </w:r>
    </w:p>
    <w:p w:rsidR="00A541EA" w:rsidRDefault="00A541EA">
      <w:pPr>
        <w:rPr>
          <w:rFonts w:cs="Times New Roman"/>
          <w:b/>
          <w:bCs/>
        </w:rPr>
      </w:pPr>
      <w:r>
        <w:rPr>
          <w:rFonts w:cs="Times New Roman"/>
          <w:b/>
          <w:bCs/>
        </w:rPr>
        <w:br w:type="page"/>
      </w:r>
    </w:p>
    <w:p w:rsidR="009118E4" w:rsidRDefault="009118E4" w:rsidP="009118E4">
      <w:pPr>
        <w:widowControl w:val="0"/>
        <w:autoSpaceDE w:val="0"/>
        <w:autoSpaceDN w:val="0"/>
        <w:adjustRightInd w:val="0"/>
        <w:spacing w:line="240" w:lineRule="auto"/>
        <w:jc w:val="center"/>
        <w:rPr>
          <w:rFonts w:cs="Times New Roman"/>
          <w:b/>
          <w:bCs/>
        </w:rPr>
      </w:pPr>
      <w:r>
        <w:rPr>
          <w:rFonts w:cs="Times New Roman"/>
          <w:b/>
          <w:bCs/>
        </w:rPr>
        <w:lastRenderedPageBreak/>
        <w:t>Table 2.17b</w:t>
      </w:r>
    </w:p>
    <w:p w:rsidR="00F02794" w:rsidRDefault="00F02794" w:rsidP="009118E4">
      <w:pPr>
        <w:widowControl w:val="0"/>
        <w:autoSpaceDE w:val="0"/>
        <w:autoSpaceDN w:val="0"/>
        <w:adjustRightInd w:val="0"/>
        <w:spacing w:line="240" w:lineRule="auto"/>
        <w:jc w:val="center"/>
        <w:rPr>
          <w:rFonts w:cs="Times New Roman"/>
          <w:b/>
          <w:bCs/>
        </w:rPr>
      </w:pPr>
      <w:r w:rsidRPr="00F40195">
        <w:rPr>
          <w:rFonts w:cs="Times New Roman"/>
          <w:b/>
          <w:bCs/>
        </w:rPr>
        <w:t xml:space="preserve">Summary of Kentucky’s Reading and Math NAEP results, 2003 to 2013 Percent of Students Who </w:t>
      </w:r>
      <w:proofErr w:type="gramStart"/>
      <w:r w:rsidRPr="00F40195">
        <w:rPr>
          <w:rFonts w:cs="Times New Roman"/>
          <w:b/>
          <w:bCs/>
        </w:rPr>
        <w:t>Scored</w:t>
      </w:r>
      <w:proofErr w:type="gramEnd"/>
      <w:r w:rsidRPr="00F40195">
        <w:rPr>
          <w:rFonts w:cs="Times New Roman"/>
          <w:b/>
          <w:bCs/>
        </w:rPr>
        <w:t xml:space="preserve"> At or Above Basic</w:t>
      </w:r>
    </w:p>
    <w:p w:rsidR="009118E4" w:rsidRPr="00F40195" w:rsidRDefault="009118E4" w:rsidP="009118E4">
      <w:pPr>
        <w:widowControl w:val="0"/>
        <w:autoSpaceDE w:val="0"/>
        <w:autoSpaceDN w:val="0"/>
        <w:adjustRightInd w:val="0"/>
        <w:spacing w:line="240" w:lineRule="auto"/>
        <w:rPr>
          <w:rFonts w:cs="Times New Roman"/>
          <w:b/>
          <w:bCs/>
        </w:rPr>
      </w:pPr>
    </w:p>
    <w:p w:rsidR="00F02794" w:rsidRPr="00F40195" w:rsidRDefault="00F02794" w:rsidP="00F40195">
      <w:pPr>
        <w:widowControl w:val="0"/>
        <w:autoSpaceDE w:val="0"/>
        <w:autoSpaceDN w:val="0"/>
        <w:adjustRightInd w:val="0"/>
        <w:spacing w:after="240" w:line="240" w:lineRule="auto"/>
        <w:contextualSpacing/>
        <w:jc w:val="center"/>
        <w:rPr>
          <w:rFonts w:cs="Times New Roman"/>
          <w:b/>
          <w:bCs/>
        </w:rPr>
      </w:pPr>
      <w:r w:rsidRPr="00F40195">
        <w:rPr>
          <w:rFonts w:cs="Times New Roman"/>
          <w:b/>
          <w:bCs/>
        </w:rPr>
        <w:t>Percent of Students Who Scored At or Above Basic</w:t>
      </w:r>
    </w:p>
    <w:tbl>
      <w:tblPr>
        <w:tblStyle w:val="TableGrid"/>
        <w:tblW w:w="8298" w:type="dxa"/>
        <w:tblInd w:w="558" w:type="dxa"/>
        <w:tblLook w:val="04A0" w:firstRow="1" w:lastRow="0" w:firstColumn="1" w:lastColumn="0" w:noHBand="0" w:noVBand="1"/>
      </w:tblPr>
      <w:tblGrid>
        <w:gridCol w:w="2531"/>
        <w:gridCol w:w="870"/>
        <w:gridCol w:w="1024"/>
        <w:gridCol w:w="947"/>
        <w:gridCol w:w="947"/>
        <w:gridCol w:w="1024"/>
        <w:gridCol w:w="955"/>
      </w:tblGrid>
      <w:tr w:rsidR="00F02794" w:rsidRPr="00F40195" w:rsidTr="002F335C">
        <w:tc>
          <w:tcPr>
            <w:tcW w:w="2531"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pPr>
          </w:p>
        </w:tc>
        <w:tc>
          <w:tcPr>
            <w:tcW w:w="870"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2003</w:t>
            </w:r>
          </w:p>
        </w:tc>
        <w:tc>
          <w:tcPr>
            <w:tcW w:w="1024"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2005</w:t>
            </w:r>
          </w:p>
        </w:tc>
        <w:tc>
          <w:tcPr>
            <w:tcW w:w="947"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2007</w:t>
            </w:r>
          </w:p>
        </w:tc>
        <w:tc>
          <w:tcPr>
            <w:tcW w:w="947"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2009</w:t>
            </w:r>
          </w:p>
        </w:tc>
        <w:tc>
          <w:tcPr>
            <w:tcW w:w="1024"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2011</w:t>
            </w:r>
          </w:p>
        </w:tc>
        <w:tc>
          <w:tcPr>
            <w:tcW w:w="955"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2013</w:t>
            </w:r>
          </w:p>
        </w:tc>
      </w:tr>
      <w:tr w:rsidR="00F02794" w:rsidRPr="00F40195" w:rsidTr="002F335C">
        <w:tc>
          <w:tcPr>
            <w:tcW w:w="2531" w:type="dxa"/>
            <w:tcBorders>
              <w:top w:val="thinThickSmallGap" w:sz="24" w:space="0" w:color="auto"/>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Math - 4</w:t>
            </w:r>
            <w:r w:rsidRPr="00F40195">
              <w:rPr>
                <w:vertAlign w:val="superscript"/>
              </w:rPr>
              <w:t>th</w:t>
            </w:r>
            <w:r w:rsidRPr="00F40195">
              <w:t xml:space="preserve"> grade</w:t>
            </w:r>
          </w:p>
        </w:tc>
        <w:tc>
          <w:tcPr>
            <w:tcW w:w="870" w:type="dxa"/>
            <w:tcBorders>
              <w:top w:val="thinThickSmallGap" w:sz="24" w:space="0" w:color="auto"/>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72%</w:t>
            </w:r>
          </w:p>
        </w:tc>
        <w:tc>
          <w:tcPr>
            <w:tcW w:w="1024"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75%</w:t>
            </w:r>
          </w:p>
        </w:tc>
        <w:tc>
          <w:tcPr>
            <w:tcW w:w="947"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79%</w:t>
            </w:r>
          </w:p>
        </w:tc>
        <w:tc>
          <w:tcPr>
            <w:tcW w:w="947"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81%</w:t>
            </w:r>
          </w:p>
        </w:tc>
        <w:tc>
          <w:tcPr>
            <w:tcW w:w="1024"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85%</w:t>
            </w:r>
          </w:p>
        </w:tc>
        <w:tc>
          <w:tcPr>
            <w:tcW w:w="955"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84%</w:t>
            </w:r>
          </w:p>
        </w:tc>
      </w:tr>
      <w:tr w:rsidR="00F02794" w:rsidRPr="00F40195" w:rsidTr="002F335C">
        <w:tc>
          <w:tcPr>
            <w:tcW w:w="2531"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Math – 8</w:t>
            </w:r>
            <w:r w:rsidRPr="00F40195">
              <w:rPr>
                <w:vertAlign w:val="superscript"/>
              </w:rPr>
              <w:t>th</w:t>
            </w:r>
            <w:r w:rsidRPr="00F40195">
              <w:t xml:space="preserve"> grade</w:t>
            </w:r>
          </w:p>
        </w:tc>
        <w:tc>
          <w:tcPr>
            <w:tcW w:w="870"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65%</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64%</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69%</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70%</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72%</w:t>
            </w:r>
          </w:p>
        </w:tc>
        <w:tc>
          <w:tcPr>
            <w:tcW w:w="955" w:type="dxa"/>
          </w:tcPr>
          <w:p w:rsidR="00F02794" w:rsidRPr="00F40195" w:rsidRDefault="00F02794" w:rsidP="00F40195">
            <w:pPr>
              <w:widowControl w:val="0"/>
              <w:autoSpaceDE w:val="0"/>
              <w:autoSpaceDN w:val="0"/>
              <w:adjustRightInd w:val="0"/>
              <w:spacing w:after="240"/>
              <w:contextualSpacing/>
              <w:jc w:val="center"/>
            </w:pPr>
            <w:r w:rsidRPr="00F40195">
              <w:t>71%</w:t>
            </w:r>
          </w:p>
        </w:tc>
      </w:tr>
      <w:tr w:rsidR="00F02794" w:rsidRPr="00F40195" w:rsidTr="002F335C">
        <w:tc>
          <w:tcPr>
            <w:tcW w:w="2531"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Reading – 4</w:t>
            </w:r>
            <w:r w:rsidRPr="00F40195">
              <w:rPr>
                <w:vertAlign w:val="superscript"/>
              </w:rPr>
              <w:t>th</w:t>
            </w:r>
            <w:r w:rsidRPr="00F40195">
              <w:t xml:space="preserve"> grade</w:t>
            </w:r>
          </w:p>
        </w:tc>
        <w:tc>
          <w:tcPr>
            <w:tcW w:w="870"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64%</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65%</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68%</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72%</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72%</w:t>
            </w:r>
          </w:p>
        </w:tc>
        <w:tc>
          <w:tcPr>
            <w:tcW w:w="955" w:type="dxa"/>
          </w:tcPr>
          <w:p w:rsidR="00F02794" w:rsidRPr="00F40195" w:rsidRDefault="00F02794" w:rsidP="00F40195">
            <w:pPr>
              <w:widowControl w:val="0"/>
              <w:autoSpaceDE w:val="0"/>
              <w:autoSpaceDN w:val="0"/>
              <w:adjustRightInd w:val="0"/>
              <w:spacing w:after="240"/>
              <w:contextualSpacing/>
              <w:jc w:val="center"/>
            </w:pPr>
            <w:r w:rsidRPr="00F40195">
              <w:t>71%</w:t>
            </w:r>
          </w:p>
        </w:tc>
      </w:tr>
      <w:tr w:rsidR="00F02794" w:rsidRPr="00F40195" w:rsidTr="002F335C">
        <w:tc>
          <w:tcPr>
            <w:tcW w:w="2531"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Reading – 8</w:t>
            </w:r>
            <w:r w:rsidRPr="00F40195">
              <w:rPr>
                <w:vertAlign w:val="superscript"/>
              </w:rPr>
              <w:t>th</w:t>
            </w:r>
            <w:r w:rsidRPr="00F40195">
              <w:t xml:space="preserve"> grade</w:t>
            </w:r>
          </w:p>
        </w:tc>
        <w:tc>
          <w:tcPr>
            <w:tcW w:w="870"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78%</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75%</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73%</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79%</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79%</w:t>
            </w:r>
          </w:p>
        </w:tc>
        <w:tc>
          <w:tcPr>
            <w:tcW w:w="955" w:type="dxa"/>
          </w:tcPr>
          <w:p w:rsidR="00F02794" w:rsidRPr="00F40195" w:rsidRDefault="00F02794" w:rsidP="00F40195">
            <w:pPr>
              <w:widowControl w:val="0"/>
              <w:autoSpaceDE w:val="0"/>
              <w:autoSpaceDN w:val="0"/>
              <w:adjustRightInd w:val="0"/>
              <w:spacing w:after="240"/>
              <w:contextualSpacing/>
              <w:jc w:val="center"/>
            </w:pPr>
            <w:r w:rsidRPr="00F40195">
              <w:t>80%</w:t>
            </w:r>
          </w:p>
        </w:tc>
      </w:tr>
    </w:tbl>
    <w:p w:rsidR="00F02794" w:rsidRPr="00F40195" w:rsidRDefault="00F02794" w:rsidP="00F40195">
      <w:pPr>
        <w:widowControl w:val="0"/>
        <w:autoSpaceDE w:val="0"/>
        <w:autoSpaceDN w:val="0"/>
        <w:adjustRightInd w:val="0"/>
        <w:spacing w:after="240" w:line="240" w:lineRule="auto"/>
        <w:contextualSpacing/>
        <w:rPr>
          <w:rFonts w:cs="Times New Roman"/>
        </w:rPr>
      </w:pPr>
    </w:p>
    <w:p w:rsidR="003F334B" w:rsidRDefault="0006506F" w:rsidP="00747BDE">
      <w:pPr>
        <w:jc w:val="center"/>
        <w:rPr>
          <w:rFonts w:cs="Times New Roman"/>
          <w:b/>
          <w:bCs/>
        </w:rPr>
      </w:pPr>
      <w:r w:rsidRPr="00F40195">
        <w:rPr>
          <w:rFonts w:cs="Times New Roman"/>
          <w:b/>
          <w:bCs/>
        </w:rPr>
        <w:t>Table 2</w:t>
      </w:r>
      <w:r w:rsidR="003F334B">
        <w:rPr>
          <w:rFonts w:cs="Times New Roman"/>
          <w:b/>
          <w:bCs/>
        </w:rPr>
        <w:t>.17c</w:t>
      </w:r>
    </w:p>
    <w:p w:rsidR="00F02794" w:rsidRDefault="00F02794" w:rsidP="00F40195">
      <w:pPr>
        <w:widowControl w:val="0"/>
        <w:autoSpaceDE w:val="0"/>
        <w:autoSpaceDN w:val="0"/>
        <w:adjustRightInd w:val="0"/>
        <w:spacing w:after="240" w:line="240" w:lineRule="auto"/>
        <w:contextualSpacing/>
        <w:jc w:val="center"/>
        <w:rPr>
          <w:rFonts w:cs="Times New Roman"/>
          <w:b/>
          <w:bCs/>
        </w:rPr>
      </w:pPr>
      <w:r w:rsidRPr="00F40195">
        <w:rPr>
          <w:rFonts w:cs="Times New Roman"/>
          <w:b/>
          <w:bCs/>
        </w:rPr>
        <w:t>Percent of Students Who Scored At or Above Proficient</w:t>
      </w:r>
    </w:p>
    <w:p w:rsidR="003F334B" w:rsidRPr="00F40195" w:rsidRDefault="003F334B" w:rsidP="00F40195">
      <w:pPr>
        <w:widowControl w:val="0"/>
        <w:autoSpaceDE w:val="0"/>
        <w:autoSpaceDN w:val="0"/>
        <w:adjustRightInd w:val="0"/>
        <w:spacing w:after="240" w:line="240" w:lineRule="auto"/>
        <w:contextualSpacing/>
        <w:jc w:val="center"/>
        <w:rPr>
          <w:rFonts w:cs="Times New Roman"/>
          <w:b/>
          <w:bCs/>
        </w:rPr>
      </w:pPr>
    </w:p>
    <w:tbl>
      <w:tblPr>
        <w:tblStyle w:val="TableGrid"/>
        <w:tblW w:w="8298" w:type="dxa"/>
        <w:tblInd w:w="558" w:type="dxa"/>
        <w:tblLook w:val="04A0" w:firstRow="1" w:lastRow="0" w:firstColumn="1" w:lastColumn="0" w:noHBand="0" w:noVBand="1"/>
      </w:tblPr>
      <w:tblGrid>
        <w:gridCol w:w="2531"/>
        <w:gridCol w:w="870"/>
        <w:gridCol w:w="1024"/>
        <w:gridCol w:w="947"/>
        <w:gridCol w:w="947"/>
        <w:gridCol w:w="1024"/>
        <w:gridCol w:w="955"/>
      </w:tblGrid>
      <w:tr w:rsidR="00F02794" w:rsidRPr="00F40195" w:rsidTr="002F335C">
        <w:tc>
          <w:tcPr>
            <w:tcW w:w="2531"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pPr>
          </w:p>
        </w:tc>
        <w:tc>
          <w:tcPr>
            <w:tcW w:w="870"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2003</w:t>
            </w:r>
          </w:p>
        </w:tc>
        <w:tc>
          <w:tcPr>
            <w:tcW w:w="1024"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2005</w:t>
            </w:r>
          </w:p>
        </w:tc>
        <w:tc>
          <w:tcPr>
            <w:tcW w:w="947"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2007</w:t>
            </w:r>
          </w:p>
        </w:tc>
        <w:tc>
          <w:tcPr>
            <w:tcW w:w="947"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2009</w:t>
            </w:r>
          </w:p>
        </w:tc>
        <w:tc>
          <w:tcPr>
            <w:tcW w:w="1024"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2011</w:t>
            </w:r>
          </w:p>
        </w:tc>
        <w:tc>
          <w:tcPr>
            <w:tcW w:w="955"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2013</w:t>
            </w:r>
          </w:p>
        </w:tc>
      </w:tr>
      <w:tr w:rsidR="00F02794" w:rsidRPr="00F40195" w:rsidTr="002F335C">
        <w:tc>
          <w:tcPr>
            <w:tcW w:w="2531" w:type="dxa"/>
            <w:tcBorders>
              <w:top w:val="thinThickSmallGap" w:sz="24" w:space="0" w:color="auto"/>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Math - 4</w:t>
            </w:r>
            <w:r w:rsidRPr="00F40195">
              <w:rPr>
                <w:vertAlign w:val="superscript"/>
              </w:rPr>
              <w:t>th</w:t>
            </w:r>
            <w:r w:rsidRPr="00F40195">
              <w:t xml:space="preserve"> grade</w:t>
            </w:r>
          </w:p>
        </w:tc>
        <w:tc>
          <w:tcPr>
            <w:tcW w:w="870" w:type="dxa"/>
            <w:tcBorders>
              <w:top w:val="thinThickSmallGap" w:sz="24" w:space="0" w:color="auto"/>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22%</w:t>
            </w:r>
          </w:p>
        </w:tc>
        <w:tc>
          <w:tcPr>
            <w:tcW w:w="1024"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26%</w:t>
            </w:r>
          </w:p>
        </w:tc>
        <w:tc>
          <w:tcPr>
            <w:tcW w:w="947"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31%</w:t>
            </w:r>
          </w:p>
        </w:tc>
        <w:tc>
          <w:tcPr>
            <w:tcW w:w="947"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37%</w:t>
            </w:r>
          </w:p>
        </w:tc>
        <w:tc>
          <w:tcPr>
            <w:tcW w:w="1024"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39%</w:t>
            </w:r>
          </w:p>
        </w:tc>
        <w:tc>
          <w:tcPr>
            <w:tcW w:w="955" w:type="dxa"/>
            <w:tcBorders>
              <w:top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41%</w:t>
            </w:r>
          </w:p>
        </w:tc>
      </w:tr>
      <w:tr w:rsidR="00F02794" w:rsidRPr="00F40195" w:rsidTr="002F335C">
        <w:tc>
          <w:tcPr>
            <w:tcW w:w="2531"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Math – 8</w:t>
            </w:r>
            <w:r w:rsidRPr="00F40195">
              <w:rPr>
                <w:vertAlign w:val="superscript"/>
              </w:rPr>
              <w:t>th</w:t>
            </w:r>
            <w:r w:rsidRPr="00F40195">
              <w:t xml:space="preserve"> grade</w:t>
            </w:r>
          </w:p>
        </w:tc>
        <w:tc>
          <w:tcPr>
            <w:tcW w:w="870"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24%</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23%</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27%</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27%</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31%</w:t>
            </w:r>
          </w:p>
        </w:tc>
        <w:tc>
          <w:tcPr>
            <w:tcW w:w="955" w:type="dxa"/>
          </w:tcPr>
          <w:p w:rsidR="00F02794" w:rsidRPr="00F40195" w:rsidRDefault="00F02794" w:rsidP="00F40195">
            <w:pPr>
              <w:widowControl w:val="0"/>
              <w:autoSpaceDE w:val="0"/>
              <w:autoSpaceDN w:val="0"/>
              <w:adjustRightInd w:val="0"/>
              <w:spacing w:after="240"/>
              <w:contextualSpacing/>
              <w:jc w:val="center"/>
            </w:pPr>
            <w:r w:rsidRPr="00F40195">
              <w:t>30%</w:t>
            </w:r>
          </w:p>
        </w:tc>
      </w:tr>
      <w:tr w:rsidR="00F02794" w:rsidRPr="00F40195" w:rsidTr="002F335C">
        <w:tc>
          <w:tcPr>
            <w:tcW w:w="2531"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Reading – 4</w:t>
            </w:r>
            <w:r w:rsidRPr="00F40195">
              <w:rPr>
                <w:vertAlign w:val="superscript"/>
              </w:rPr>
              <w:t>th</w:t>
            </w:r>
            <w:r w:rsidRPr="00F40195">
              <w:t xml:space="preserve"> grade</w:t>
            </w:r>
          </w:p>
        </w:tc>
        <w:tc>
          <w:tcPr>
            <w:tcW w:w="870"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31%</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31%</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33%</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36%</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35%</w:t>
            </w:r>
          </w:p>
        </w:tc>
        <w:tc>
          <w:tcPr>
            <w:tcW w:w="955" w:type="dxa"/>
          </w:tcPr>
          <w:p w:rsidR="00F02794" w:rsidRPr="00F40195" w:rsidRDefault="00F02794" w:rsidP="00F40195">
            <w:pPr>
              <w:widowControl w:val="0"/>
              <w:autoSpaceDE w:val="0"/>
              <w:autoSpaceDN w:val="0"/>
              <w:adjustRightInd w:val="0"/>
              <w:spacing w:after="240"/>
              <w:contextualSpacing/>
              <w:jc w:val="center"/>
            </w:pPr>
            <w:r w:rsidRPr="00F40195">
              <w:t>36%</w:t>
            </w:r>
          </w:p>
        </w:tc>
      </w:tr>
      <w:tr w:rsidR="00F02794" w:rsidRPr="00F40195" w:rsidTr="002F335C">
        <w:tc>
          <w:tcPr>
            <w:tcW w:w="2531" w:type="dxa"/>
            <w:tcBorders>
              <w:righ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Reading – 8</w:t>
            </w:r>
            <w:r w:rsidRPr="00F40195">
              <w:rPr>
                <w:vertAlign w:val="superscript"/>
              </w:rPr>
              <w:t>th</w:t>
            </w:r>
            <w:r w:rsidRPr="00F40195">
              <w:t xml:space="preserve"> grade</w:t>
            </w:r>
          </w:p>
        </w:tc>
        <w:tc>
          <w:tcPr>
            <w:tcW w:w="870" w:type="dxa"/>
            <w:tcBorders>
              <w:left w:val="thinThickSmallGap" w:sz="24" w:space="0" w:color="auto"/>
            </w:tcBorders>
          </w:tcPr>
          <w:p w:rsidR="00F02794" w:rsidRPr="00F40195" w:rsidRDefault="00F02794" w:rsidP="00F40195">
            <w:pPr>
              <w:widowControl w:val="0"/>
              <w:autoSpaceDE w:val="0"/>
              <w:autoSpaceDN w:val="0"/>
              <w:adjustRightInd w:val="0"/>
              <w:spacing w:after="240"/>
              <w:contextualSpacing/>
              <w:jc w:val="center"/>
            </w:pPr>
            <w:r w:rsidRPr="00F40195">
              <w:t>34%</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31%</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28%</w:t>
            </w:r>
          </w:p>
        </w:tc>
        <w:tc>
          <w:tcPr>
            <w:tcW w:w="947" w:type="dxa"/>
          </w:tcPr>
          <w:p w:rsidR="00F02794" w:rsidRPr="00F40195" w:rsidRDefault="00F02794" w:rsidP="00F40195">
            <w:pPr>
              <w:widowControl w:val="0"/>
              <w:autoSpaceDE w:val="0"/>
              <w:autoSpaceDN w:val="0"/>
              <w:adjustRightInd w:val="0"/>
              <w:spacing w:after="240"/>
              <w:contextualSpacing/>
              <w:jc w:val="center"/>
            </w:pPr>
            <w:r w:rsidRPr="00F40195">
              <w:t>33%</w:t>
            </w:r>
          </w:p>
        </w:tc>
        <w:tc>
          <w:tcPr>
            <w:tcW w:w="1024" w:type="dxa"/>
          </w:tcPr>
          <w:p w:rsidR="00F02794" w:rsidRPr="00F40195" w:rsidRDefault="00F02794" w:rsidP="00F40195">
            <w:pPr>
              <w:widowControl w:val="0"/>
              <w:autoSpaceDE w:val="0"/>
              <w:autoSpaceDN w:val="0"/>
              <w:adjustRightInd w:val="0"/>
              <w:spacing w:after="240"/>
              <w:contextualSpacing/>
              <w:jc w:val="center"/>
            </w:pPr>
            <w:r w:rsidRPr="00F40195">
              <w:t>36%</w:t>
            </w:r>
          </w:p>
        </w:tc>
        <w:tc>
          <w:tcPr>
            <w:tcW w:w="955" w:type="dxa"/>
          </w:tcPr>
          <w:p w:rsidR="00F02794" w:rsidRPr="00F40195" w:rsidRDefault="00F02794" w:rsidP="00F40195">
            <w:pPr>
              <w:widowControl w:val="0"/>
              <w:autoSpaceDE w:val="0"/>
              <w:autoSpaceDN w:val="0"/>
              <w:adjustRightInd w:val="0"/>
              <w:spacing w:after="240"/>
              <w:contextualSpacing/>
              <w:jc w:val="center"/>
            </w:pPr>
            <w:r w:rsidRPr="00F40195">
              <w:t>38%</w:t>
            </w:r>
          </w:p>
        </w:tc>
      </w:tr>
    </w:tbl>
    <w:p w:rsidR="00F02794" w:rsidRPr="00F40195" w:rsidRDefault="00F02794" w:rsidP="00F40195">
      <w:pPr>
        <w:widowControl w:val="0"/>
        <w:autoSpaceDE w:val="0"/>
        <w:autoSpaceDN w:val="0"/>
        <w:adjustRightInd w:val="0"/>
        <w:spacing w:after="240" w:line="240" w:lineRule="auto"/>
        <w:rPr>
          <w:rFonts w:cs="Times New Roman"/>
        </w:rPr>
      </w:pPr>
    </w:p>
    <w:p w:rsidR="00F02794" w:rsidRPr="00F40195" w:rsidRDefault="00F02794" w:rsidP="008D674A">
      <w:pPr>
        <w:pStyle w:val="Heading3"/>
      </w:pPr>
      <w:bookmarkStart w:id="67" w:name="_Toc395180668"/>
      <w:r w:rsidRPr="00F40195">
        <w:t>Above the National Average But Below the Highest Achieving State</w:t>
      </w:r>
      <w:bookmarkEnd w:id="67"/>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In 2013 Kentucky had a higher percentage of students score at or above basic and proficient in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reading and at or above basic in 4</w:t>
      </w:r>
      <w:r w:rsidRPr="00F40195">
        <w:rPr>
          <w:rFonts w:cs="Times New Roman"/>
          <w:vertAlign w:val="superscript"/>
        </w:rPr>
        <w:t>th</w:t>
      </w:r>
      <w:r w:rsidRPr="00F40195">
        <w:rPr>
          <w:rFonts w:cs="Times New Roman"/>
        </w:rPr>
        <w:t xml:space="preserve"> grade math than the national average. The only time that Kentucky did not finish </w:t>
      </w:r>
      <w:r w:rsidR="0022709A" w:rsidRPr="00F40195">
        <w:rPr>
          <w:rFonts w:cs="Times New Roman"/>
        </w:rPr>
        <w:t xml:space="preserve">above </w:t>
      </w:r>
      <w:r w:rsidRPr="00F40195">
        <w:rPr>
          <w:rFonts w:cs="Times New Roman"/>
        </w:rPr>
        <w:t>the national average was for students performing at or above both basic and proficient in 8</w:t>
      </w:r>
      <w:r w:rsidRPr="00F40195">
        <w:rPr>
          <w:rFonts w:cs="Times New Roman"/>
          <w:vertAlign w:val="superscript"/>
        </w:rPr>
        <w:t>th</w:t>
      </w:r>
      <w:r w:rsidRPr="00F40195">
        <w:rPr>
          <w:rFonts w:cs="Times New Roman"/>
        </w:rPr>
        <w:t xml:space="preserve"> grade math. However, the percentage of students who scored at or above basic and proficient was consistently higher in Massachusetts, a state whose students consistently finish at the top on national exams.</w:t>
      </w:r>
    </w:p>
    <w:p w:rsidR="00747BDE" w:rsidRDefault="00747BDE">
      <w:pPr>
        <w:rPr>
          <w:rFonts w:cs="Times New Roman"/>
          <w:b/>
        </w:rPr>
      </w:pPr>
      <w:r>
        <w:rPr>
          <w:rFonts w:cs="Times New Roman"/>
          <w:b/>
        </w:rPr>
        <w:br w:type="page"/>
      </w:r>
    </w:p>
    <w:p w:rsidR="00D32DE0" w:rsidRDefault="00F02794" w:rsidP="00D32DE0">
      <w:pPr>
        <w:widowControl w:val="0"/>
        <w:autoSpaceDE w:val="0"/>
        <w:autoSpaceDN w:val="0"/>
        <w:adjustRightInd w:val="0"/>
        <w:spacing w:after="240" w:line="240" w:lineRule="auto"/>
        <w:contextualSpacing/>
        <w:jc w:val="center"/>
        <w:rPr>
          <w:rFonts w:cs="Times New Roman"/>
          <w:b/>
        </w:rPr>
      </w:pPr>
      <w:r w:rsidRPr="00F40195">
        <w:rPr>
          <w:rFonts w:cs="Times New Roman"/>
          <w:b/>
        </w:rPr>
        <w:lastRenderedPageBreak/>
        <w:t>Table 2.18</w:t>
      </w:r>
    </w:p>
    <w:p w:rsidR="00F02794" w:rsidRDefault="00F02794" w:rsidP="00D32DE0">
      <w:pPr>
        <w:widowControl w:val="0"/>
        <w:autoSpaceDE w:val="0"/>
        <w:autoSpaceDN w:val="0"/>
        <w:adjustRightInd w:val="0"/>
        <w:spacing w:after="240" w:line="240" w:lineRule="auto"/>
        <w:contextualSpacing/>
        <w:jc w:val="center"/>
        <w:rPr>
          <w:rFonts w:cs="Times New Roman"/>
          <w:b/>
        </w:rPr>
      </w:pPr>
      <w:r w:rsidRPr="00F40195">
        <w:rPr>
          <w:rFonts w:cs="Times New Roman"/>
          <w:b/>
        </w:rPr>
        <w:t>Kentucky’s Math and Reading NAEP Results Compared to Massachusetts and the National Average for 2013</w:t>
      </w:r>
    </w:p>
    <w:p w:rsidR="00D32DE0" w:rsidRPr="00F40195" w:rsidRDefault="00D32DE0" w:rsidP="00F40195">
      <w:pPr>
        <w:widowControl w:val="0"/>
        <w:autoSpaceDE w:val="0"/>
        <w:autoSpaceDN w:val="0"/>
        <w:adjustRightInd w:val="0"/>
        <w:spacing w:after="240" w:line="240" w:lineRule="auto"/>
        <w:contextualSpacing/>
        <w:rPr>
          <w:rFonts w:cs="Times New Roman"/>
          <w:b/>
        </w:rPr>
      </w:pPr>
    </w:p>
    <w:tbl>
      <w:tblPr>
        <w:tblStyle w:val="TableGrid"/>
        <w:tblW w:w="7830" w:type="dxa"/>
        <w:tblInd w:w="558" w:type="dxa"/>
        <w:tblLook w:val="04A0" w:firstRow="1" w:lastRow="0" w:firstColumn="1" w:lastColumn="0" w:noHBand="0" w:noVBand="1"/>
      </w:tblPr>
      <w:tblGrid>
        <w:gridCol w:w="2250"/>
        <w:gridCol w:w="1387"/>
        <w:gridCol w:w="1359"/>
        <w:gridCol w:w="1231"/>
        <w:gridCol w:w="1603"/>
      </w:tblGrid>
      <w:tr w:rsidR="00F02794" w:rsidRPr="00F40195" w:rsidTr="002F335C">
        <w:trPr>
          <w:trHeight w:val="432"/>
        </w:trPr>
        <w:tc>
          <w:tcPr>
            <w:tcW w:w="2250"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pPr>
          </w:p>
        </w:tc>
        <w:tc>
          <w:tcPr>
            <w:tcW w:w="1387" w:type="dxa"/>
            <w:tcBorders>
              <w:bottom w:val="thinThickSmallGap" w:sz="24" w:space="0" w:color="auto"/>
              <w:right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At or above</w:t>
            </w:r>
          </w:p>
        </w:tc>
        <w:tc>
          <w:tcPr>
            <w:tcW w:w="1359" w:type="dxa"/>
            <w:tcBorders>
              <w:left w:val="thinThickSmallGap" w:sz="24" w:space="0" w:color="auto"/>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1231"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1603"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Massachusetts</w:t>
            </w:r>
          </w:p>
        </w:tc>
      </w:tr>
      <w:tr w:rsidR="00F02794" w:rsidRPr="00F40195" w:rsidTr="002F335C">
        <w:trPr>
          <w:trHeight w:val="432"/>
        </w:trPr>
        <w:tc>
          <w:tcPr>
            <w:tcW w:w="2250" w:type="dxa"/>
            <w:vMerge w:val="restart"/>
            <w:tcBorders>
              <w:top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pPr>
            <w:r w:rsidRPr="00F40195">
              <w:t>Math 4</w:t>
            </w:r>
            <w:r w:rsidRPr="00F40195">
              <w:rPr>
                <w:vertAlign w:val="superscript"/>
              </w:rPr>
              <w:t>th</w:t>
            </w:r>
            <w:r w:rsidRPr="00F40195">
              <w:t xml:space="preserve"> Grade</w:t>
            </w:r>
          </w:p>
        </w:tc>
        <w:tc>
          <w:tcPr>
            <w:tcW w:w="1387" w:type="dxa"/>
            <w:tcBorders>
              <w:top w:val="thinThickSmallGap" w:sz="2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Basic</w:t>
            </w:r>
          </w:p>
        </w:tc>
        <w:tc>
          <w:tcPr>
            <w:tcW w:w="1359" w:type="dxa"/>
            <w:tcBorders>
              <w:top w:val="thinThickSmallGap" w:sz="24" w:space="0" w:color="auto"/>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84%</w:t>
            </w:r>
          </w:p>
        </w:tc>
        <w:tc>
          <w:tcPr>
            <w:tcW w:w="1231" w:type="dxa"/>
            <w:tcBorders>
              <w:top w:val="thinThickSmallGap" w:sz="24" w:space="0" w:color="auto"/>
            </w:tcBorders>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82%</w:t>
            </w:r>
          </w:p>
        </w:tc>
        <w:tc>
          <w:tcPr>
            <w:tcW w:w="1603" w:type="dxa"/>
            <w:tcBorders>
              <w:top w:val="thinThickSmallGap" w:sz="24" w:space="0" w:color="auto"/>
            </w:tcBorders>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93%</w:t>
            </w:r>
          </w:p>
        </w:tc>
      </w:tr>
      <w:tr w:rsidR="00F02794" w:rsidRPr="00F40195" w:rsidTr="002F335C">
        <w:trPr>
          <w:trHeight w:val="432"/>
        </w:trPr>
        <w:tc>
          <w:tcPr>
            <w:tcW w:w="2250" w:type="dxa"/>
            <w:vMerge/>
            <w:vAlign w:val="center"/>
          </w:tcPr>
          <w:p w:rsidR="00F02794" w:rsidRPr="00F40195" w:rsidRDefault="00F02794" w:rsidP="00F40195">
            <w:pPr>
              <w:widowControl w:val="0"/>
              <w:autoSpaceDE w:val="0"/>
              <w:autoSpaceDN w:val="0"/>
              <w:adjustRightInd w:val="0"/>
              <w:spacing w:after="240"/>
              <w:contextualSpacing/>
            </w:pP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41%</w:t>
            </w:r>
          </w:p>
        </w:tc>
        <w:tc>
          <w:tcPr>
            <w:tcW w:w="1231" w:type="dxa"/>
            <w:vAlign w:val="center"/>
          </w:tcPr>
          <w:p w:rsidR="00F02794" w:rsidRPr="00F40195" w:rsidRDefault="00F02794" w:rsidP="00F40195">
            <w:pPr>
              <w:widowControl w:val="0"/>
              <w:autoSpaceDE w:val="0"/>
              <w:autoSpaceDN w:val="0"/>
              <w:adjustRightInd w:val="0"/>
              <w:spacing w:after="240"/>
              <w:contextualSpacing/>
              <w:jc w:val="center"/>
            </w:pPr>
            <w:r w:rsidRPr="00F40195">
              <w:t>41%</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58%</w:t>
            </w:r>
          </w:p>
        </w:tc>
      </w:tr>
      <w:tr w:rsidR="00F02794" w:rsidRPr="00F40195" w:rsidTr="002F335C">
        <w:trPr>
          <w:trHeight w:val="432"/>
        </w:trPr>
        <w:tc>
          <w:tcPr>
            <w:tcW w:w="2250" w:type="dxa"/>
            <w:vMerge w:val="restart"/>
            <w:vAlign w:val="center"/>
          </w:tcPr>
          <w:p w:rsidR="00F02794" w:rsidRPr="00F40195" w:rsidRDefault="00F02794" w:rsidP="00F40195">
            <w:pPr>
              <w:widowControl w:val="0"/>
              <w:autoSpaceDE w:val="0"/>
              <w:autoSpaceDN w:val="0"/>
              <w:adjustRightInd w:val="0"/>
              <w:spacing w:after="240"/>
              <w:contextualSpacing/>
            </w:pPr>
            <w:r w:rsidRPr="00F40195">
              <w:t>Math 8</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Basic</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71%</w:t>
            </w:r>
          </w:p>
        </w:tc>
        <w:tc>
          <w:tcPr>
            <w:tcW w:w="1231"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73%</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86%</w:t>
            </w:r>
          </w:p>
        </w:tc>
      </w:tr>
      <w:tr w:rsidR="00F02794" w:rsidRPr="00F40195" w:rsidTr="002F335C">
        <w:trPr>
          <w:trHeight w:val="432"/>
        </w:trPr>
        <w:tc>
          <w:tcPr>
            <w:tcW w:w="2250" w:type="dxa"/>
            <w:vMerge/>
            <w:vAlign w:val="center"/>
          </w:tcPr>
          <w:p w:rsidR="00F02794" w:rsidRPr="00F40195" w:rsidRDefault="00F02794" w:rsidP="00F40195">
            <w:pPr>
              <w:widowControl w:val="0"/>
              <w:autoSpaceDE w:val="0"/>
              <w:autoSpaceDN w:val="0"/>
              <w:adjustRightInd w:val="0"/>
              <w:spacing w:after="240"/>
              <w:contextualSpacing/>
            </w:pP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30%</w:t>
            </w:r>
          </w:p>
        </w:tc>
        <w:tc>
          <w:tcPr>
            <w:tcW w:w="1231"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34%</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55%</w:t>
            </w:r>
          </w:p>
        </w:tc>
      </w:tr>
      <w:tr w:rsidR="00F02794" w:rsidRPr="00F40195" w:rsidTr="002F335C">
        <w:trPr>
          <w:trHeight w:val="432"/>
        </w:trPr>
        <w:tc>
          <w:tcPr>
            <w:tcW w:w="2250" w:type="dxa"/>
            <w:vMerge w:val="restart"/>
            <w:vAlign w:val="center"/>
          </w:tcPr>
          <w:p w:rsidR="00F02794" w:rsidRPr="00F40195" w:rsidRDefault="00F02794" w:rsidP="00F40195">
            <w:pPr>
              <w:widowControl w:val="0"/>
              <w:autoSpaceDE w:val="0"/>
              <w:autoSpaceDN w:val="0"/>
              <w:adjustRightInd w:val="0"/>
              <w:spacing w:after="240"/>
              <w:contextualSpacing/>
            </w:pPr>
            <w:r w:rsidRPr="00F40195">
              <w:t>Reading 4</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Basic</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71%</w:t>
            </w:r>
          </w:p>
        </w:tc>
        <w:tc>
          <w:tcPr>
            <w:tcW w:w="1231" w:type="dxa"/>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67%</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79%</w:t>
            </w:r>
          </w:p>
        </w:tc>
      </w:tr>
      <w:tr w:rsidR="00F02794" w:rsidRPr="00F40195" w:rsidTr="002F335C">
        <w:trPr>
          <w:trHeight w:val="432"/>
        </w:trPr>
        <w:tc>
          <w:tcPr>
            <w:tcW w:w="2250" w:type="dxa"/>
            <w:vMerge/>
            <w:vAlign w:val="center"/>
          </w:tcPr>
          <w:p w:rsidR="00F02794" w:rsidRPr="00F40195" w:rsidRDefault="00F02794" w:rsidP="00F40195">
            <w:pPr>
              <w:widowControl w:val="0"/>
              <w:autoSpaceDE w:val="0"/>
              <w:autoSpaceDN w:val="0"/>
              <w:adjustRightInd w:val="0"/>
              <w:spacing w:after="240"/>
              <w:contextualSpacing/>
            </w:pP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36%</w:t>
            </w:r>
          </w:p>
        </w:tc>
        <w:tc>
          <w:tcPr>
            <w:tcW w:w="1231" w:type="dxa"/>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34%</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47%</w:t>
            </w:r>
          </w:p>
        </w:tc>
      </w:tr>
      <w:tr w:rsidR="00F02794" w:rsidRPr="00F40195" w:rsidTr="002F335C">
        <w:trPr>
          <w:trHeight w:val="432"/>
        </w:trPr>
        <w:tc>
          <w:tcPr>
            <w:tcW w:w="2250" w:type="dxa"/>
            <w:vMerge w:val="restart"/>
            <w:vAlign w:val="center"/>
          </w:tcPr>
          <w:p w:rsidR="00F02794" w:rsidRPr="00F40195" w:rsidRDefault="00F02794" w:rsidP="00F40195">
            <w:pPr>
              <w:widowControl w:val="0"/>
              <w:autoSpaceDE w:val="0"/>
              <w:autoSpaceDN w:val="0"/>
              <w:adjustRightInd w:val="0"/>
              <w:spacing w:after="240"/>
              <w:ind w:left="252" w:hanging="252"/>
              <w:contextualSpacing/>
            </w:pPr>
            <w:r w:rsidRPr="00F40195">
              <w:t>Reading 8</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Basic</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80%</w:t>
            </w:r>
          </w:p>
        </w:tc>
        <w:tc>
          <w:tcPr>
            <w:tcW w:w="1231" w:type="dxa"/>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77%</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84%</w:t>
            </w:r>
          </w:p>
        </w:tc>
      </w:tr>
      <w:tr w:rsidR="00F02794" w:rsidRPr="00F40195" w:rsidTr="002F335C">
        <w:trPr>
          <w:trHeight w:val="432"/>
        </w:trPr>
        <w:tc>
          <w:tcPr>
            <w:tcW w:w="2250" w:type="dxa"/>
            <w:vMerge/>
            <w:vAlign w:val="center"/>
          </w:tcPr>
          <w:p w:rsidR="00F02794" w:rsidRPr="00F40195" w:rsidRDefault="00F02794" w:rsidP="00F40195">
            <w:pPr>
              <w:widowControl w:val="0"/>
              <w:autoSpaceDE w:val="0"/>
              <w:autoSpaceDN w:val="0"/>
              <w:adjustRightInd w:val="0"/>
              <w:spacing w:after="240"/>
              <w:contextualSpacing/>
            </w:pP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359"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38%</w:t>
            </w:r>
          </w:p>
        </w:tc>
        <w:tc>
          <w:tcPr>
            <w:tcW w:w="1231" w:type="dxa"/>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34%</w:t>
            </w:r>
          </w:p>
        </w:tc>
        <w:tc>
          <w:tcPr>
            <w:tcW w:w="1603"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48%</w:t>
            </w:r>
          </w:p>
        </w:tc>
      </w:tr>
    </w:tbl>
    <w:p w:rsidR="00F02794" w:rsidRPr="00F40195" w:rsidRDefault="00F02794" w:rsidP="00F40195">
      <w:pPr>
        <w:widowControl w:val="0"/>
        <w:autoSpaceDE w:val="0"/>
        <w:autoSpaceDN w:val="0"/>
        <w:adjustRightInd w:val="0"/>
        <w:spacing w:after="240" w:line="240" w:lineRule="auto"/>
        <w:rPr>
          <w:rFonts w:cs="Times New Roman"/>
        </w:rPr>
      </w:pPr>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Table 2.19 provides more detail on how Kentucky students did on the NAEP and compares Kentucky’s result to both the comparative sta</w:t>
      </w:r>
      <w:r w:rsidR="00F74C20">
        <w:rPr>
          <w:rFonts w:cs="Times New Roman"/>
        </w:rPr>
        <w:t xml:space="preserve">tes, and to national outcomes. </w:t>
      </w:r>
    </w:p>
    <w:p w:rsidR="00BD0C73" w:rsidRDefault="00BD0C73">
      <w:pPr>
        <w:rPr>
          <w:rFonts w:cs="Times New Roman"/>
          <w:b/>
          <w:bCs/>
        </w:rPr>
      </w:pPr>
      <w:r>
        <w:rPr>
          <w:rFonts w:cs="Times New Roman"/>
          <w:b/>
          <w:bCs/>
        </w:rPr>
        <w:br w:type="page"/>
      </w:r>
    </w:p>
    <w:p w:rsidR="00F74C20" w:rsidRDefault="00F74C20" w:rsidP="00F74C20">
      <w:pPr>
        <w:widowControl w:val="0"/>
        <w:autoSpaceDE w:val="0"/>
        <w:autoSpaceDN w:val="0"/>
        <w:adjustRightInd w:val="0"/>
        <w:spacing w:line="240" w:lineRule="auto"/>
        <w:jc w:val="center"/>
        <w:rPr>
          <w:rFonts w:cs="Times New Roman"/>
          <w:b/>
          <w:bCs/>
        </w:rPr>
      </w:pPr>
      <w:r>
        <w:rPr>
          <w:rFonts w:cs="Times New Roman"/>
          <w:b/>
          <w:bCs/>
        </w:rPr>
        <w:lastRenderedPageBreak/>
        <w:t>Table 2.19</w:t>
      </w:r>
    </w:p>
    <w:p w:rsidR="00F02794" w:rsidRDefault="00F02794" w:rsidP="00F74C20">
      <w:pPr>
        <w:widowControl w:val="0"/>
        <w:autoSpaceDE w:val="0"/>
        <w:autoSpaceDN w:val="0"/>
        <w:adjustRightInd w:val="0"/>
        <w:spacing w:line="240" w:lineRule="auto"/>
        <w:jc w:val="center"/>
        <w:rPr>
          <w:rFonts w:cs="Times New Roman"/>
          <w:b/>
          <w:bCs/>
        </w:rPr>
      </w:pPr>
      <w:r w:rsidRPr="00F40195">
        <w:rPr>
          <w:rFonts w:cs="Times New Roman"/>
          <w:b/>
          <w:bCs/>
        </w:rPr>
        <w:t>Kentucky NAEP results along with Comparative State and National Averages, Math and Reading NAEP Scale Scores 2003 to 2013</w:t>
      </w:r>
    </w:p>
    <w:p w:rsidR="00F74C20" w:rsidRPr="00F40195" w:rsidRDefault="00F74C20" w:rsidP="00F74C20">
      <w:pPr>
        <w:widowControl w:val="0"/>
        <w:autoSpaceDE w:val="0"/>
        <w:autoSpaceDN w:val="0"/>
        <w:adjustRightInd w:val="0"/>
        <w:spacing w:line="240" w:lineRule="auto"/>
        <w:jc w:val="center"/>
        <w:rPr>
          <w:rFonts w:cs="Times New Roman"/>
        </w:rPr>
      </w:pPr>
    </w:p>
    <w:tbl>
      <w:tblPr>
        <w:tblStyle w:val="TableGrid"/>
        <w:tblW w:w="8658" w:type="dxa"/>
        <w:tblLook w:val="04A0" w:firstRow="1" w:lastRow="0" w:firstColumn="1" w:lastColumn="0" w:noHBand="0" w:noVBand="1"/>
      </w:tblPr>
      <w:tblGrid>
        <w:gridCol w:w="1638"/>
        <w:gridCol w:w="1637"/>
        <w:gridCol w:w="1637"/>
        <w:gridCol w:w="1839"/>
        <w:gridCol w:w="1907"/>
      </w:tblGrid>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Math          4</w:t>
            </w:r>
            <w:r w:rsidRPr="00F40195">
              <w:rPr>
                <w:b/>
                <w:bCs/>
                <w:vertAlign w:val="superscript"/>
              </w:rPr>
              <w:t>th</w:t>
            </w:r>
            <w:r w:rsidRPr="00F40195">
              <w:rPr>
                <w:b/>
                <w:bCs/>
              </w:rPr>
              <w:t xml:space="preserve"> Grade</w:t>
            </w:r>
          </w:p>
        </w:tc>
        <w:tc>
          <w:tcPr>
            <w:tcW w:w="5113" w:type="dxa"/>
            <w:gridSpan w:val="3"/>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Kentucky Scores</w:t>
            </w:r>
          </w:p>
        </w:tc>
        <w:tc>
          <w:tcPr>
            <w:tcW w:w="1907" w:type="dxa"/>
            <w:vMerge w:val="restart"/>
            <w:vAlign w:val="bottom"/>
          </w:tcPr>
          <w:p w:rsidR="00F02794" w:rsidRPr="00F40195" w:rsidRDefault="00F02794" w:rsidP="00F40195">
            <w:pPr>
              <w:widowControl w:val="0"/>
              <w:autoSpaceDE w:val="0"/>
              <w:autoSpaceDN w:val="0"/>
              <w:adjustRightInd w:val="0"/>
              <w:spacing w:after="240"/>
              <w:ind w:right="-435"/>
              <w:contextualSpacing/>
              <w:rPr>
                <w:bCs/>
              </w:rPr>
            </w:pPr>
            <w:r w:rsidRPr="00F40195">
              <w:rPr>
                <w:bCs/>
              </w:rPr>
              <w:t>National Average</w:t>
            </w:r>
          </w:p>
          <w:p w:rsidR="00F02794" w:rsidRPr="00F40195" w:rsidRDefault="00F02794" w:rsidP="00F40195">
            <w:pPr>
              <w:widowControl w:val="0"/>
              <w:autoSpaceDE w:val="0"/>
              <w:autoSpaceDN w:val="0"/>
              <w:adjustRightInd w:val="0"/>
              <w:spacing w:after="240"/>
              <w:contextualSpacing/>
              <w:jc w:val="center"/>
              <w:rPr>
                <w:bCs/>
              </w:rPr>
            </w:pPr>
            <w:r w:rsidRPr="00F40195">
              <w:rPr>
                <w:bCs/>
              </w:rPr>
              <w:t>Scores</w:t>
            </w:r>
          </w:p>
        </w:tc>
      </w:tr>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Year</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Average</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National Ranking</w:t>
            </w:r>
          </w:p>
        </w:tc>
        <w:tc>
          <w:tcPr>
            <w:tcW w:w="1839"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Comparative State Ranking</w:t>
            </w:r>
          </w:p>
        </w:tc>
        <w:tc>
          <w:tcPr>
            <w:tcW w:w="1907" w:type="dxa"/>
            <w:vMerge/>
            <w:vAlign w:val="bottom"/>
          </w:tcPr>
          <w:p w:rsidR="00F02794" w:rsidRPr="00F40195" w:rsidRDefault="00F02794" w:rsidP="00F40195">
            <w:pPr>
              <w:widowControl w:val="0"/>
              <w:autoSpaceDE w:val="0"/>
              <w:autoSpaceDN w:val="0"/>
              <w:adjustRightInd w:val="0"/>
              <w:spacing w:after="240"/>
              <w:contextualSpacing/>
              <w:jc w:val="center"/>
              <w:rPr>
                <w:bCs/>
              </w:rPr>
            </w:pP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237</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19</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6</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234</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241</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19</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6</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237</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2007</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244</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10</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6</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239</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244</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15</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239</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2011</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9</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240</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18</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241</w:t>
            </w:r>
          </w:p>
        </w:tc>
      </w:tr>
    </w:tbl>
    <w:p w:rsidR="00F02794" w:rsidRPr="00F40195" w:rsidRDefault="00F02794" w:rsidP="00F40195">
      <w:pPr>
        <w:widowControl w:val="0"/>
        <w:autoSpaceDE w:val="0"/>
        <w:autoSpaceDN w:val="0"/>
        <w:adjustRightInd w:val="0"/>
        <w:spacing w:after="240" w:line="240" w:lineRule="auto"/>
        <w:rPr>
          <w:rFonts w:cs="Times New Roman"/>
          <w:b/>
          <w:bCs/>
        </w:rPr>
      </w:pPr>
    </w:p>
    <w:tbl>
      <w:tblPr>
        <w:tblStyle w:val="TableGrid"/>
        <w:tblW w:w="8658" w:type="dxa"/>
        <w:tblLook w:val="04A0" w:firstRow="1" w:lastRow="0" w:firstColumn="1" w:lastColumn="0" w:noHBand="0" w:noVBand="1"/>
      </w:tblPr>
      <w:tblGrid>
        <w:gridCol w:w="1638"/>
        <w:gridCol w:w="1637"/>
        <w:gridCol w:w="1637"/>
        <w:gridCol w:w="1839"/>
        <w:gridCol w:w="1907"/>
      </w:tblGrid>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Math          8</w:t>
            </w:r>
            <w:r w:rsidRPr="00F40195">
              <w:rPr>
                <w:b/>
                <w:bCs/>
                <w:vertAlign w:val="superscript"/>
              </w:rPr>
              <w:t>th</w:t>
            </w:r>
            <w:r w:rsidRPr="00F40195">
              <w:rPr>
                <w:b/>
                <w:bCs/>
              </w:rPr>
              <w:t xml:space="preserve"> Grade</w:t>
            </w:r>
          </w:p>
        </w:tc>
        <w:tc>
          <w:tcPr>
            <w:tcW w:w="5113" w:type="dxa"/>
            <w:gridSpan w:val="3"/>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Kentucky Scores</w:t>
            </w:r>
          </w:p>
        </w:tc>
        <w:tc>
          <w:tcPr>
            <w:tcW w:w="1907" w:type="dxa"/>
            <w:vMerge w:val="restart"/>
            <w:vAlign w:val="bottom"/>
          </w:tcPr>
          <w:p w:rsidR="00F02794" w:rsidRPr="00F40195" w:rsidRDefault="00F02794" w:rsidP="00F40195">
            <w:pPr>
              <w:widowControl w:val="0"/>
              <w:autoSpaceDE w:val="0"/>
              <w:autoSpaceDN w:val="0"/>
              <w:adjustRightInd w:val="0"/>
              <w:spacing w:after="240"/>
              <w:ind w:right="-435"/>
              <w:contextualSpacing/>
              <w:rPr>
                <w:bCs/>
              </w:rPr>
            </w:pPr>
            <w:r w:rsidRPr="00F40195">
              <w:rPr>
                <w:bCs/>
              </w:rPr>
              <w:t>National Average</w:t>
            </w:r>
          </w:p>
          <w:p w:rsidR="00F02794" w:rsidRPr="00F40195" w:rsidRDefault="00F02794" w:rsidP="00F40195">
            <w:pPr>
              <w:widowControl w:val="0"/>
              <w:autoSpaceDE w:val="0"/>
              <w:autoSpaceDN w:val="0"/>
              <w:adjustRightInd w:val="0"/>
              <w:spacing w:after="240"/>
              <w:contextualSpacing/>
              <w:jc w:val="center"/>
              <w:rPr>
                <w:bCs/>
              </w:rPr>
            </w:pPr>
            <w:r w:rsidRPr="00F40195">
              <w:rPr>
                <w:bCs/>
              </w:rPr>
              <w:t>Scores</w:t>
            </w:r>
          </w:p>
        </w:tc>
      </w:tr>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Year</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Average</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National Ranking</w:t>
            </w:r>
          </w:p>
        </w:tc>
        <w:tc>
          <w:tcPr>
            <w:tcW w:w="1839"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Comparative State Ranking</w:t>
            </w:r>
          </w:p>
        </w:tc>
        <w:tc>
          <w:tcPr>
            <w:tcW w:w="1907" w:type="dxa"/>
            <w:vMerge/>
            <w:vAlign w:val="bottom"/>
          </w:tcPr>
          <w:p w:rsidR="00F02794" w:rsidRPr="00F40195" w:rsidRDefault="00F02794" w:rsidP="00F40195">
            <w:pPr>
              <w:widowControl w:val="0"/>
              <w:autoSpaceDE w:val="0"/>
              <w:autoSpaceDN w:val="0"/>
              <w:adjustRightInd w:val="0"/>
              <w:spacing w:after="240"/>
              <w:contextualSpacing/>
              <w:jc w:val="center"/>
              <w:rPr>
                <w:bCs/>
              </w:rPr>
            </w:pP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274</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35</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276</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274</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37</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278</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2007</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34</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280</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35</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282</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2011</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282</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32</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283</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281</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36</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284</w:t>
            </w:r>
          </w:p>
        </w:tc>
      </w:tr>
    </w:tbl>
    <w:p w:rsidR="00BD0C73" w:rsidRDefault="00BD0C73" w:rsidP="00F40195">
      <w:pPr>
        <w:widowControl w:val="0"/>
        <w:autoSpaceDE w:val="0"/>
        <w:autoSpaceDN w:val="0"/>
        <w:adjustRightInd w:val="0"/>
        <w:spacing w:after="240" w:line="240" w:lineRule="auto"/>
        <w:rPr>
          <w:rFonts w:cs="Times New Roman"/>
          <w:b/>
          <w:bCs/>
        </w:rPr>
      </w:pPr>
    </w:p>
    <w:p w:rsidR="00BD0C73" w:rsidRDefault="00BD0C73">
      <w:pPr>
        <w:rPr>
          <w:rFonts w:cs="Times New Roman"/>
          <w:b/>
          <w:bCs/>
        </w:rPr>
      </w:pPr>
      <w:r>
        <w:rPr>
          <w:rFonts w:cs="Times New Roman"/>
          <w:b/>
          <w:bCs/>
        </w:rPr>
        <w:br w:type="page"/>
      </w:r>
    </w:p>
    <w:p w:rsidR="00F02794" w:rsidRPr="00F40195" w:rsidRDefault="00F02794" w:rsidP="00F40195">
      <w:pPr>
        <w:widowControl w:val="0"/>
        <w:autoSpaceDE w:val="0"/>
        <w:autoSpaceDN w:val="0"/>
        <w:adjustRightInd w:val="0"/>
        <w:spacing w:after="240" w:line="240" w:lineRule="auto"/>
        <w:rPr>
          <w:rFonts w:cs="Times New Roman"/>
          <w:b/>
          <w:bCs/>
        </w:rPr>
      </w:pPr>
    </w:p>
    <w:tbl>
      <w:tblPr>
        <w:tblStyle w:val="TableGrid"/>
        <w:tblW w:w="8658" w:type="dxa"/>
        <w:tblLook w:val="04A0" w:firstRow="1" w:lastRow="0" w:firstColumn="1" w:lastColumn="0" w:noHBand="0" w:noVBand="1"/>
      </w:tblPr>
      <w:tblGrid>
        <w:gridCol w:w="1638"/>
        <w:gridCol w:w="1637"/>
        <w:gridCol w:w="1637"/>
        <w:gridCol w:w="1839"/>
        <w:gridCol w:w="1907"/>
      </w:tblGrid>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Reading      4</w:t>
            </w:r>
            <w:r w:rsidRPr="00F40195">
              <w:rPr>
                <w:b/>
                <w:bCs/>
                <w:vertAlign w:val="superscript"/>
              </w:rPr>
              <w:t>th</w:t>
            </w:r>
            <w:r w:rsidRPr="00F40195">
              <w:rPr>
                <w:b/>
                <w:bCs/>
              </w:rPr>
              <w:t xml:space="preserve"> Grade</w:t>
            </w:r>
          </w:p>
        </w:tc>
        <w:tc>
          <w:tcPr>
            <w:tcW w:w="5113" w:type="dxa"/>
            <w:gridSpan w:val="3"/>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Kentucky Scores</w:t>
            </w:r>
          </w:p>
        </w:tc>
        <w:tc>
          <w:tcPr>
            <w:tcW w:w="1907" w:type="dxa"/>
            <w:vMerge w:val="restart"/>
            <w:vAlign w:val="bottom"/>
          </w:tcPr>
          <w:p w:rsidR="00F02794" w:rsidRPr="00F40195" w:rsidRDefault="00F02794" w:rsidP="00F40195">
            <w:pPr>
              <w:widowControl w:val="0"/>
              <w:autoSpaceDE w:val="0"/>
              <w:autoSpaceDN w:val="0"/>
              <w:adjustRightInd w:val="0"/>
              <w:spacing w:after="240"/>
              <w:ind w:right="-435"/>
              <w:contextualSpacing/>
              <w:rPr>
                <w:bCs/>
              </w:rPr>
            </w:pPr>
            <w:r w:rsidRPr="00F40195">
              <w:rPr>
                <w:bCs/>
              </w:rPr>
              <w:t>National Average</w:t>
            </w:r>
          </w:p>
          <w:p w:rsidR="00F02794" w:rsidRPr="00F40195" w:rsidRDefault="00F02794" w:rsidP="00F40195">
            <w:pPr>
              <w:widowControl w:val="0"/>
              <w:autoSpaceDE w:val="0"/>
              <w:autoSpaceDN w:val="0"/>
              <w:adjustRightInd w:val="0"/>
              <w:spacing w:after="240"/>
              <w:contextualSpacing/>
              <w:jc w:val="center"/>
              <w:rPr>
                <w:bCs/>
              </w:rPr>
            </w:pPr>
            <w:r w:rsidRPr="00F40195">
              <w:rPr>
                <w:bCs/>
              </w:rPr>
              <w:t>Scores</w:t>
            </w:r>
          </w:p>
        </w:tc>
      </w:tr>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Year</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Average</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National Ranking</w:t>
            </w:r>
          </w:p>
        </w:tc>
        <w:tc>
          <w:tcPr>
            <w:tcW w:w="1839"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Comparative State Ranking</w:t>
            </w:r>
          </w:p>
        </w:tc>
        <w:tc>
          <w:tcPr>
            <w:tcW w:w="1907" w:type="dxa"/>
            <w:vMerge/>
            <w:vAlign w:val="bottom"/>
          </w:tcPr>
          <w:p w:rsidR="00F02794" w:rsidRPr="00F40195" w:rsidRDefault="00F02794" w:rsidP="00F40195">
            <w:pPr>
              <w:widowControl w:val="0"/>
              <w:autoSpaceDE w:val="0"/>
              <w:autoSpaceDN w:val="0"/>
              <w:adjustRightInd w:val="0"/>
              <w:spacing w:after="240"/>
              <w:contextualSpacing/>
              <w:jc w:val="center"/>
              <w:rPr>
                <w:bCs/>
              </w:rPr>
            </w:pP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219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216</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220</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217</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2007</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222</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220</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226</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11</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220</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2011</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10</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220</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224</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17</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221</w:t>
            </w:r>
          </w:p>
        </w:tc>
      </w:tr>
    </w:tbl>
    <w:p w:rsidR="00F02794" w:rsidRPr="00F40195" w:rsidRDefault="00F02794" w:rsidP="00F40195">
      <w:pPr>
        <w:widowControl w:val="0"/>
        <w:autoSpaceDE w:val="0"/>
        <w:autoSpaceDN w:val="0"/>
        <w:adjustRightInd w:val="0"/>
        <w:spacing w:after="240" w:line="240" w:lineRule="auto"/>
        <w:rPr>
          <w:rFonts w:cs="Times New Roman"/>
          <w:b/>
          <w:bCs/>
        </w:rPr>
      </w:pPr>
    </w:p>
    <w:tbl>
      <w:tblPr>
        <w:tblStyle w:val="TableGrid"/>
        <w:tblW w:w="8658" w:type="dxa"/>
        <w:tblLook w:val="04A0" w:firstRow="1" w:lastRow="0" w:firstColumn="1" w:lastColumn="0" w:noHBand="0" w:noVBand="1"/>
      </w:tblPr>
      <w:tblGrid>
        <w:gridCol w:w="1638"/>
        <w:gridCol w:w="1637"/>
        <w:gridCol w:w="1637"/>
        <w:gridCol w:w="1839"/>
        <w:gridCol w:w="1907"/>
      </w:tblGrid>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
                <w:bCs/>
              </w:rPr>
            </w:pPr>
            <w:r w:rsidRPr="00F40195">
              <w:rPr>
                <w:b/>
                <w:bCs/>
              </w:rPr>
              <w:t>Reading      8</w:t>
            </w:r>
            <w:r w:rsidRPr="00F40195">
              <w:rPr>
                <w:b/>
                <w:bCs/>
                <w:vertAlign w:val="superscript"/>
              </w:rPr>
              <w:t>th</w:t>
            </w:r>
            <w:r w:rsidRPr="00F40195">
              <w:rPr>
                <w:b/>
                <w:bCs/>
              </w:rPr>
              <w:t xml:space="preserve"> Grade</w:t>
            </w:r>
          </w:p>
        </w:tc>
        <w:tc>
          <w:tcPr>
            <w:tcW w:w="5113" w:type="dxa"/>
            <w:gridSpan w:val="3"/>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Kentucky Scores</w:t>
            </w:r>
          </w:p>
        </w:tc>
        <w:tc>
          <w:tcPr>
            <w:tcW w:w="1907" w:type="dxa"/>
            <w:vMerge w:val="restart"/>
            <w:vAlign w:val="bottom"/>
          </w:tcPr>
          <w:p w:rsidR="00F02794" w:rsidRPr="00F40195" w:rsidRDefault="00F02794" w:rsidP="00F40195">
            <w:pPr>
              <w:widowControl w:val="0"/>
              <w:autoSpaceDE w:val="0"/>
              <w:autoSpaceDN w:val="0"/>
              <w:adjustRightInd w:val="0"/>
              <w:spacing w:after="240"/>
              <w:ind w:right="-435"/>
              <w:contextualSpacing/>
              <w:rPr>
                <w:bCs/>
              </w:rPr>
            </w:pPr>
            <w:r w:rsidRPr="00F40195">
              <w:rPr>
                <w:bCs/>
              </w:rPr>
              <w:t>National Average</w:t>
            </w:r>
          </w:p>
          <w:p w:rsidR="00F02794" w:rsidRPr="00F40195" w:rsidRDefault="00F02794" w:rsidP="00F40195">
            <w:pPr>
              <w:widowControl w:val="0"/>
              <w:autoSpaceDE w:val="0"/>
              <w:autoSpaceDN w:val="0"/>
              <w:adjustRightInd w:val="0"/>
              <w:spacing w:after="240"/>
              <w:contextualSpacing/>
              <w:jc w:val="center"/>
              <w:rPr>
                <w:bCs/>
              </w:rPr>
            </w:pPr>
            <w:r w:rsidRPr="00F40195">
              <w:rPr>
                <w:bCs/>
              </w:rPr>
              <w:t>Scores</w:t>
            </w:r>
          </w:p>
        </w:tc>
      </w:tr>
      <w:tr w:rsidR="00F02794" w:rsidRPr="00F40195" w:rsidTr="002F335C">
        <w:tc>
          <w:tcPr>
            <w:tcW w:w="1638"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Year</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Average</w:t>
            </w:r>
          </w:p>
        </w:tc>
        <w:tc>
          <w:tcPr>
            <w:tcW w:w="1637"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National Ranking</w:t>
            </w:r>
          </w:p>
        </w:tc>
        <w:tc>
          <w:tcPr>
            <w:tcW w:w="1839" w:type="dxa"/>
            <w:vAlign w:val="bottom"/>
          </w:tcPr>
          <w:p w:rsidR="00F02794" w:rsidRPr="00F40195" w:rsidRDefault="00F02794" w:rsidP="00F40195">
            <w:pPr>
              <w:widowControl w:val="0"/>
              <w:autoSpaceDE w:val="0"/>
              <w:autoSpaceDN w:val="0"/>
              <w:adjustRightInd w:val="0"/>
              <w:spacing w:after="240"/>
              <w:contextualSpacing/>
              <w:jc w:val="center"/>
              <w:rPr>
                <w:bCs/>
              </w:rPr>
            </w:pPr>
            <w:r w:rsidRPr="00F40195">
              <w:rPr>
                <w:bCs/>
              </w:rPr>
              <w:t>Comparative State Ranking</w:t>
            </w:r>
          </w:p>
        </w:tc>
        <w:tc>
          <w:tcPr>
            <w:tcW w:w="1907" w:type="dxa"/>
            <w:vMerge/>
            <w:vAlign w:val="bottom"/>
          </w:tcPr>
          <w:p w:rsidR="00F02794" w:rsidRPr="00F40195" w:rsidRDefault="00F02794" w:rsidP="00F40195">
            <w:pPr>
              <w:widowControl w:val="0"/>
              <w:autoSpaceDE w:val="0"/>
              <w:autoSpaceDN w:val="0"/>
              <w:adjustRightInd w:val="0"/>
              <w:spacing w:after="240"/>
              <w:contextualSpacing/>
              <w:jc w:val="center"/>
              <w:rPr>
                <w:bCs/>
              </w:rPr>
            </w:pP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266</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261</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2005</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264</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25</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260</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2007</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262</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30</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4</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261</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2009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267</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18</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3</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262</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2011</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269</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12</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264</w:t>
            </w:r>
          </w:p>
        </w:tc>
      </w:tr>
      <w:tr w:rsidR="00F02794" w:rsidRPr="00F40195" w:rsidTr="002F335C">
        <w:trPr>
          <w:trHeight w:val="432"/>
        </w:trPr>
        <w:tc>
          <w:tcPr>
            <w:tcW w:w="1638"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2013</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270</w:t>
            </w:r>
          </w:p>
        </w:tc>
        <w:tc>
          <w:tcPr>
            <w:tcW w:w="163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15</w:t>
            </w:r>
          </w:p>
        </w:tc>
        <w:tc>
          <w:tcPr>
            <w:tcW w:w="1839"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1</w:t>
            </w:r>
          </w:p>
        </w:tc>
        <w:tc>
          <w:tcPr>
            <w:tcW w:w="1907" w:type="dxa"/>
            <w:vAlign w:val="center"/>
          </w:tcPr>
          <w:p w:rsidR="00F02794" w:rsidRPr="00F40195" w:rsidRDefault="00F02794" w:rsidP="00F40195">
            <w:pPr>
              <w:widowControl w:val="0"/>
              <w:autoSpaceDE w:val="0"/>
              <w:autoSpaceDN w:val="0"/>
              <w:adjustRightInd w:val="0"/>
              <w:spacing w:after="240"/>
              <w:contextualSpacing/>
              <w:jc w:val="center"/>
              <w:rPr>
                <w:bCs/>
              </w:rPr>
            </w:pPr>
            <w:r w:rsidRPr="00F40195">
              <w:rPr>
                <w:bCs/>
              </w:rPr>
              <w:t>266</w:t>
            </w:r>
          </w:p>
        </w:tc>
      </w:tr>
    </w:tbl>
    <w:p w:rsidR="00F02794" w:rsidRPr="00F40195" w:rsidRDefault="00F02794" w:rsidP="008D674A">
      <w:pPr>
        <w:pStyle w:val="Heading3"/>
      </w:pPr>
      <w:bookmarkStart w:id="68" w:name="_Toc385250726"/>
      <w:bookmarkStart w:id="69" w:name="_Toc395180669"/>
      <w:r w:rsidRPr="00F40195">
        <w:t>Other Educational Measures</w:t>
      </w:r>
      <w:bookmarkEnd w:id="68"/>
      <w:bookmarkEnd w:id="69"/>
    </w:p>
    <w:p w:rsidR="00F02794" w:rsidRPr="00F40195" w:rsidRDefault="00F02794" w:rsidP="00F40195">
      <w:pPr>
        <w:widowControl w:val="0"/>
        <w:autoSpaceDE w:val="0"/>
        <w:autoSpaceDN w:val="0"/>
        <w:adjustRightInd w:val="0"/>
        <w:spacing w:after="240" w:line="240" w:lineRule="auto"/>
        <w:rPr>
          <w:rFonts w:cs="Times New Roman"/>
        </w:rPr>
      </w:pPr>
      <w:r w:rsidRPr="00F40195">
        <w:rPr>
          <w:rFonts w:cs="Times New Roman"/>
        </w:rPr>
        <w:t>There are other ways to measure student achievement beyond the use of student test scores. Comparisons of graduation rates</w:t>
      </w:r>
      <w:r w:rsidR="0022709A" w:rsidRPr="00F40195">
        <w:rPr>
          <w:rFonts w:cs="Times New Roman"/>
        </w:rPr>
        <w:t>,</w:t>
      </w:r>
      <w:r w:rsidRPr="00F40195">
        <w:rPr>
          <w:rFonts w:cs="Times New Roman"/>
        </w:rPr>
        <w:t xml:space="preserve"> for example</w:t>
      </w:r>
      <w:r w:rsidR="0022709A" w:rsidRPr="00F40195">
        <w:rPr>
          <w:rFonts w:cs="Times New Roman"/>
        </w:rPr>
        <w:t>,</w:t>
      </w:r>
      <w:r w:rsidRPr="00F40195">
        <w:rPr>
          <w:rFonts w:cs="Times New Roman"/>
        </w:rPr>
        <w:t xml:space="preserve"> show that the percentage students who graduated from Kentucky’s high schools within four years in the 2009-10 school year (the m</w:t>
      </w:r>
      <w:r w:rsidR="00A541EA">
        <w:rPr>
          <w:rFonts w:cs="Times New Roman"/>
        </w:rPr>
        <w:t>ost recent available) were 79.9 percent</w:t>
      </w:r>
      <w:r w:rsidRPr="00F40195">
        <w:rPr>
          <w:rFonts w:cs="Times New Roman"/>
        </w:rPr>
        <w:t xml:space="preserve"> (NCES, 2013)</w:t>
      </w:r>
      <w:r w:rsidRPr="00F40195">
        <w:rPr>
          <w:rStyle w:val="FootnoteReference"/>
          <w:rFonts w:cs="Times New Roman"/>
        </w:rPr>
        <w:footnoteReference w:id="2"/>
      </w:r>
      <w:r w:rsidRPr="00F40195">
        <w:rPr>
          <w:rFonts w:cs="Times New Roman"/>
        </w:rPr>
        <w:t>. Kentucky’s graduation rate was 1.7 percentage points higher than the national average and 23</w:t>
      </w:r>
      <w:r w:rsidRPr="00F40195">
        <w:rPr>
          <w:rFonts w:cs="Times New Roman"/>
          <w:vertAlign w:val="superscript"/>
        </w:rPr>
        <w:t>rd</w:t>
      </w:r>
      <w:r w:rsidRPr="00F40195">
        <w:rPr>
          <w:rFonts w:cs="Times New Roman"/>
        </w:rPr>
        <w:t xml:space="preserve"> highest in the country. Between 2001-02 and 2009-10 Kentucky’s high school graduation rate improved by 10.1 percentage points. Table 2.20 shows the high school graduation rates for Kentucky and other comparable states.</w:t>
      </w:r>
    </w:p>
    <w:p w:rsidR="00F74C20" w:rsidRDefault="00F74C20" w:rsidP="00F74C20">
      <w:pPr>
        <w:widowControl w:val="0"/>
        <w:autoSpaceDE w:val="0"/>
        <w:autoSpaceDN w:val="0"/>
        <w:adjustRightInd w:val="0"/>
        <w:spacing w:line="240" w:lineRule="auto"/>
        <w:jc w:val="center"/>
        <w:rPr>
          <w:rFonts w:cs="Times New Roman"/>
          <w:b/>
          <w:bCs/>
        </w:rPr>
      </w:pPr>
      <w:r>
        <w:rPr>
          <w:rFonts w:cs="Times New Roman"/>
          <w:b/>
          <w:bCs/>
        </w:rPr>
        <w:lastRenderedPageBreak/>
        <w:t>Table 2.20</w:t>
      </w:r>
    </w:p>
    <w:p w:rsidR="00F02794" w:rsidRDefault="00F02794" w:rsidP="00F74C20">
      <w:pPr>
        <w:widowControl w:val="0"/>
        <w:autoSpaceDE w:val="0"/>
        <w:autoSpaceDN w:val="0"/>
        <w:adjustRightInd w:val="0"/>
        <w:spacing w:line="240" w:lineRule="auto"/>
        <w:jc w:val="center"/>
        <w:rPr>
          <w:rFonts w:cs="Times New Roman"/>
          <w:b/>
        </w:rPr>
      </w:pPr>
      <w:r w:rsidRPr="00F40195">
        <w:rPr>
          <w:rFonts w:cs="Times New Roman"/>
          <w:b/>
          <w:bCs/>
        </w:rPr>
        <w:t xml:space="preserve">High School Graduation </w:t>
      </w:r>
      <w:r w:rsidRPr="00F74C20">
        <w:rPr>
          <w:rFonts w:cs="Times New Roman"/>
          <w:b/>
          <w:bCs/>
        </w:rPr>
        <w:t>Rates</w:t>
      </w:r>
      <w:r w:rsidRPr="00F74C20">
        <w:rPr>
          <w:rFonts w:cs="Times New Roman"/>
          <w:b/>
        </w:rPr>
        <w:t xml:space="preserve"> -Average freshmen four-year graduation rates</w:t>
      </w:r>
    </w:p>
    <w:p w:rsidR="00F74C20" w:rsidRPr="00F40195" w:rsidRDefault="00F74C20" w:rsidP="00F74C20">
      <w:pPr>
        <w:widowControl w:val="0"/>
        <w:autoSpaceDE w:val="0"/>
        <w:autoSpaceDN w:val="0"/>
        <w:adjustRightInd w:val="0"/>
        <w:spacing w:line="240" w:lineRule="auto"/>
        <w:jc w:val="center"/>
        <w:rPr>
          <w:rFonts w:cs="Times New Roman"/>
        </w:rPr>
      </w:pPr>
    </w:p>
    <w:tbl>
      <w:tblPr>
        <w:tblStyle w:val="TableGrid"/>
        <w:tblW w:w="8298" w:type="dxa"/>
        <w:jc w:val="center"/>
        <w:tblLook w:val="04A0" w:firstRow="1" w:lastRow="0" w:firstColumn="1" w:lastColumn="0" w:noHBand="0" w:noVBand="1"/>
      </w:tblPr>
      <w:tblGrid>
        <w:gridCol w:w="1818"/>
        <w:gridCol w:w="1800"/>
        <w:gridCol w:w="1890"/>
        <w:gridCol w:w="2790"/>
      </w:tblGrid>
      <w:tr w:rsidR="00F02794" w:rsidRPr="00F40195" w:rsidTr="00F74C20">
        <w:trPr>
          <w:trHeight w:val="710"/>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p>
        </w:tc>
        <w:tc>
          <w:tcPr>
            <w:tcW w:w="3690" w:type="dxa"/>
            <w:gridSpan w:val="2"/>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Graduation Rates                    </w:t>
            </w:r>
            <w:r w:rsidRPr="00F40195">
              <w:rPr>
                <w:i/>
              </w:rPr>
              <w:t>(National Rank)</w:t>
            </w:r>
          </w:p>
        </w:tc>
        <w:tc>
          <w:tcPr>
            <w:tcW w:w="2790" w:type="dxa"/>
            <w:vMerge w:val="restart"/>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 xml:space="preserve">Changes in Rates </w:t>
            </w:r>
            <w:r w:rsidRPr="00F40195">
              <w:rPr>
                <w:i/>
              </w:rPr>
              <w:t>(National Rank)</w:t>
            </w:r>
          </w:p>
        </w:tc>
      </w:tr>
      <w:tr w:rsidR="00F02794" w:rsidRPr="00F40195" w:rsidTr="00F74C20">
        <w:trPr>
          <w:trHeight w:val="539"/>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2001-2002</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2009-2010</w:t>
            </w:r>
          </w:p>
        </w:tc>
        <w:tc>
          <w:tcPr>
            <w:tcW w:w="2790" w:type="dxa"/>
            <w:vMerge/>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p>
        </w:tc>
      </w:tr>
      <w:tr w:rsidR="00F02794" w:rsidRPr="00F40195" w:rsidTr="00F74C20">
        <w:trPr>
          <w:jc w:val="center"/>
        </w:trPr>
        <w:tc>
          <w:tcPr>
            <w:tcW w:w="1818"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National</w:t>
            </w:r>
          </w:p>
        </w:tc>
        <w:tc>
          <w:tcPr>
            <w:tcW w:w="1800" w:type="dxa"/>
            <w:tcBorders>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72.6%</w:t>
            </w:r>
          </w:p>
        </w:tc>
        <w:tc>
          <w:tcPr>
            <w:tcW w:w="1890" w:type="dxa"/>
            <w:tcBorders>
              <w:bottom w:val="thinThickSmallGap" w:sz="24" w:space="0" w:color="auto"/>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78.2%</w:t>
            </w:r>
          </w:p>
        </w:tc>
        <w:tc>
          <w:tcPr>
            <w:tcW w:w="2790" w:type="dxa"/>
            <w:tcBorders>
              <w:left w:val="thinThickSmallGap" w:sz="24" w:space="0" w:color="auto"/>
              <w:bottom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5.6%</w:t>
            </w:r>
          </w:p>
        </w:tc>
      </w:tr>
      <w:tr w:rsidR="00F02794" w:rsidRPr="00F40195" w:rsidTr="00F74C20">
        <w:trPr>
          <w:jc w:val="center"/>
        </w:trPr>
        <w:tc>
          <w:tcPr>
            <w:tcW w:w="1818"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1800" w:type="dxa"/>
            <w:tcBorders>
              <w:top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69.8% (39)</w:t>
            </w:r>
          </w:p>
        </w:tc>
        <w:tc>
          <w:tcPr>
            <w:tcW w:w="1890" w:type="dxa"/>
            <w:tcBorders>
              <w:top w:val="thinThickSmallGap" w:sz="24" w:space="0" w:color="auto"/>
              <w:righ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79.9% (23)</w:t>
            </w:r>
          </w:p>
        </w:tc>
        <w:tc>
          <w:tcPr>
            <w:tcW w:w="2790" w:type="dxa"/>
            <w:tcBorders>
              <w:top w:val="thinThickSmallGap" w:sz="24" w:space="0" w:color="auto"/>
              <w:left w:val="thinThickSmallGap" w:sz="24" w:space="0" w:color="auto"/>
            </w:tcBorders>
            <w:shd w:val="clear" w:color="auto" w:fill="BFBFBF" w:themeFill="background1" w:themeFillShade="BF"/>
            <w:vAlign w:val="center"/>
          </w:tcPr>
          <w:p w:rsidR="00F02794" w:rsidRPr="00F40195" w:rsidRDefault="00F02794" w:rsidP="00F40195">
            <w:pPr>
              <w:widowControl w:val="0"/>
              <w:autoSpaceDE w:val="0"/>
              <w:autoSpaceDN w:val="0"/>
              <w:adjustRightInd w:val="0"/>
              <w:spacing w:after="240"/>
              <w:contextualSpacing/>
              <w:jc w:val="center"/>
            </w:pPr>
            <w:r w:rsidRPr="00F40195">
              <w:t>10.1% (4)</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Alabama</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62.1% (46)</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71.8% (43)</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9.7% (5)</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Arkansas</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74.8% (26)</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75.0% (41)</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0.2% (44)</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Indiana</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73.1% (32)</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77.2% (30)</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4.1% (29)</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Missouri</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77.8% (15)</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83.7% (12)</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6.9% (14)</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Ohio</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77.5% (18)</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81.4% (19)</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3.9% (31)</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Tennessee</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59.6% (50)</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80.4% (21)</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20.8% (1)</w:t>
            </w:r>
          </w:p>
        </w:tc>
      </w:tr>
      <w:tr w:rsidR="00F02794" w:rsidRPr="00F40195" w:rsidTr="00F74C20">
        <w:trPr>
          <w:jc w:val="center"/>
        </w:trPr>
        <w:tc>
          <w:tcPr>
            <w:tcW w:w="1818" w:type="dxa"/>
            <w:vAlign w:val="center"/>
          </w:tcPr>
          <w:p w:rsidR="00F02794" w:rsidRPr="00F40195" w:rsidRDefault="00F02794" w:rsidP="00F40195">
            <w:pPr>
              <w:widowControl w:val="0"/>
              <w:autoSpaceDE w:val="0"/>
              <w:autoSpaceDN w:val="0"/>
              <w:adjustRightInd w:val="0"/>
              <w:spacing w:after="240"/>
              <w:contextualSpacing/>
              <w:jc w:val="center"/>
            </w:pPr>
            <w:r w:rsidRPr="00F40195">
              <w:t>West Virginia</w:t>
            </w:r>
          </w:p>
        </w:tc>
        <w:tc>
          <w:tcPr>
            <w:tcW w:w="1800" w:type="dxa"/>
            <w:vAlign w:val="center"/>
          </w:tcPr>
          <w:p w:rsidR="00F02794" w:rsidRPr="00F40195" w:rsidRDefault="00F02794" w:rsidP="00F40195">
            <w:pPr>
              <w:widowControl w:val="0"/>
              <w:autoSpaceDE w:val="0"/>
              <w:autoSpaceDN w:val="0"/>
              <w:adjustRightInd w:val="0"/>
              <w:spacing w:after="240"/>
              <w:contextualSpacing/>
              <w:jc w:val="center"/>
            </w:pPr>
            <w:r w:rsidRPr="00F40195">
              <w:t>74.2% (30)</w:t>
            </w:r>
          </w:p>
        </w:tc>
        <w:tc>
          <w:tcPr>
            <w:tcW w:w="1890"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78.3% (28)</w:t>
            </w:r>
          </w:p>
        </w:tc>
        <w:tc>
          <w:tcPr>
            <w:tcW w:w="2790"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4.1% (29)</w:t>
            </w:r>
          </w:p>
        </w:tc>
      </w:tr>
    </w:tbl>
    <w:p w:rsidR="00F02794" w:rsidRPr="00F40195" w:rsidRDefault="00F02794" w:rsidP="00F74C20">
      <w:pPr>
        <w:widowControl w:val="0"/>
        <w:autoSpaceDE w:val="0"/>
        <w:autoSpaceDN w:val="0"/>
        <w:adjustRightInd w:val="0"/>
        <w:spacing w:after="240" w:line="240" w:lineRule="auto"/>
        <w:ind w:firstLine="720"/>
        <w:rPr>
          <w:rFonts w:cs="Times New Roman"/>
        </w:rPr>
      </w:pPr>
      <w:r w:rsidRPr="00F40195">
        <w:rPr>
          <w:rFonts w:cs="Times New Roman"/>
        </w:rPr>
        <w:t>Source: National Center for Education Statistics, 2000 through 2013.</w:t>
      </w:r>
    </w:p>
    <w:p w:rsidR="00F02794" w:rsidRPr="00F40195" w:rsidRDefault="00F02794" w:rsidP="004A0CA1">
      <w:pPr>
        <w:widowControl w:val="0"/>
        <w:autoSpaceDE w:val="0"/>
        <w:autoSpaceDN w:val="0"/>
        <w:adjustRightInd w:val="0"/>
        <w:spacing w:after="240" w:line="240" w:lineRule="auto"/>
        <w:rPr>
          <w:rFonts w:cs="Times New Roman"/>
        </w:rPr>
      </w:pPr>
      <w:r w:rsidRPr="00F40195">
        <w:rPr>
          <w:rFonts w:cs="Times New Roman"/>
        </w:rPr>
        <w:t>Another measure that is frequently used to ga</w:t>
      </w:r>
      <w:r w:rsidR="0022709A" w:rsidRPr="00F40195">
        <w:rPr>
          <w:rFonts w:cs="Times New Roman"/>
        </w:rPr>
        <w:t>u</w:t>
      </w:r>
      <w:r w:rsidRPr="00F40195">
        <w:rPr>
          <w:rFonts w:cs="Times New Roman"/>
        </w:rPr>
        <w:t>ge student performance is the number of high school graduates who enroll in college – this is commonly known as the “college going rate.” The college going rate is a measure of the number of students who graduate from high school and begin college in the fall of the next school year. Kentucky’s college going rate for 2007-08 was 60.9</w:t>
      </w:r>
      <w:r w:rsidR="00001E7F" w:rsidRPr="00F40195">
        <w:rPr>
          <w:rFonts w:cs="Times New Roman"/>
        </w:rPr>
        <w:t xml:space="preserve"> percent</w:t>
      </w:r>
      <w:r w:rsidRPr="00F40195">
        <w:rPr>
          <w:rFonts w:cs="Times New Roman"/>
        </w:rPr>
        <w:t>, which was the 20</w:t>
      </w:r>
      <w:r w:rsidRPr="00F40195">
        <w:rPr>
          <w:rFonts w:cs="Times New Roman"/>
          <w:vertAlign w:val="superscript"/>
        </w:rPr>
        <w:t>th</w:t>
      </w:r>
      <w:r w:rsidRPr="00F40195">
        <w:rPr>
          <w:rFonts w:cs="Times New Roman"/>
        </w:rPr>
        <w:t xml:space="preserve"> lowest in the country.</w:t>
      </w:r>
      <w:r w:rsidRPr="00F40195">
        <w:rPr>
          <w:rStyle w:val="FootnoteReference"/>
          <w:rFonts w:cs="Times New Roman"/>
        </w:rPr>
        <w:footnoteReference w:id="3"/>
      </w:r>
      <w:r w:rsidRPr="00F40195">
        <w:rPr>
          <w:rFonts w:cs="Times New Roman"/>
          <w:position w:val="16"/>
        </w:rPr>
        <w:t xml:space="preserve"> </w:t>
      </w:r>
      <w:r w:rsidRPr="00F40195">
        <w:rPr>
          <w:rFonts w:cs="Times New Roman"/>
        </w:rPr>
        <w:t>The national college going rate for that year was 63.8</w:t>
      </w:r>
      <w:r w:rsidR="00001E7F" w:rsidRPr="00F40195">
        <w:rPr>
          <w:rFonts w:cs="Times New Roman"/>
        </w:rPr>
        <w:t xml:space="preserve"> percent</w:t>
      </w:r>
      <w:r w:rsidRPr="00F40195">
        <w:rPr>
          <w:rFonts w:cs="Times New Roman"/>
        </w:rPr>
        <w:t>. Because of the way that this number is measured</w:t>
      </w:r>
      <w:r w:rsidR="00632CF1">
        <w:rPr>
          <w:rFonts w:cs="Times New Roman"/>
        </w:rPr>
        <w:t>,</w:t>
      </w:r>
      <w:r w:rsidRPr="00F40195">
        <w:rPr>
          <w:rFonts w:cs="Times New Roman"/>
        </w:rPr>
        <w:t xml:space="preserve"> states that have a low high school graduation rate often have high college going rates – due to the fact that</w:t>
      </w:r>
      <w:r w:rsidR="00632CF1">
        <w:rPr>
          <w:rFonts w:cs="Times New Roman"/>
        </w:rPr>
        <w:t xml:space="preserve"> </w:t>
      </w:r>
      <w:r w:rsidR="009B3120">
        <w:rPr>
          <w:rFonts w:cs="Times New Roman"/>
        </w:rPr>
        <w:t>students</w:t>
      </w:r>
      <w:r w:rsidR="00632CF1">
        <w:rPr>
          <w:rFonts w:cs="Times New Roman"/>
        </w:rPr>
        <w:t xml:space="preserve"> who do not complete</w:t>
      </w:r>
      <w:r w:rsidRPr="00F40195">
        <w:rPr>
          <w:rFonts w:cs="Times New Roman"/>
        </w:rPr>
        <w:t xml:space="preserve"> high school are not part of the equation. For this reason Mississippi, which had the 3rd lowest high school graduation rate at 63.9</w:t>
      </w:r>
      <w:r w:rsidR="00001E7F" w:rsidRPr="00F40195">
        <w:rPr>
          <w:rFonts w:cs="Times New Roman"/>
        </w:rPr>
        <w:t xml:space="preserve"> percent</w:t>
      </w:r>
      <w:r w:rsidRPr="00F40195">
        <w:rPr>
          <w:rFonts w:cs="Times New Roman"/>
        </w:rPr>
        <w:t>, had the highest college going rate in the country at 77.4</w:t>
      </w:r>
      <w:r w:rsidR="00001E7F" w:rsidRPr="00F40195">
        <w:rPr>
          <w:rFonts w:cs="Times New Roman"/>
        </w:rPr>
        <w:t xml:space="preserve"> percent</w:t>
      </w:r>
    </w:p>
    <w:p w:rsidR="00F02794" w:rsidRPr="00F40195" w:rsidRDefault="00F02794" w:rsidP="008D674A">
      <w:pPr>
        <w:pStyle w:val="Heading3"/>
      </w:pPr>
      <w:bookmarkStart w:id="70" w:name="_Toc385250728"/>
      <w:bookmarkStart w:id="71" w:name="_Toc395180670"/>
      <w:r w:rsidRPr="00F40195">
        <w:t>Below Average Funding</w:t>
      </w:r>
      <w:bookmarkEnd w:id="70"/>
      <w:bookmarkEnd w:id="71"/>
    </w:p>
    <w:p w:rsidR="00F02794" w:rsidRPr="00F40195" w:rsidRDefault="00F02794" w:rsidP="00F40195">
      <w:pPr>
        <w:widowControl w:val="0"/>
        <w:tabs>
          <w:tab w:val="left" w:pos="940"/>
          <w:tab w:val="left" w:pos="1440"/>
        </w:tabs>
        <w:autoSpaceDE w:val="0"/>
        <w:autoSpaceDN w:val="0"/>
        <w:adjustRightInd w:val="0"/>
        <w:spacing w:after="320" w:line="240" w:lineRule="auto"/>
        <w:rPr>
          <w:rFonts w:cs="Times New Roman"/>
        </w:rPr>
      </w:pPr>
      <w:r w:rsidRPr="00F40195">
        <w:rPr>
          <w:rFonts w:cs="Times New Roman"/>
        </w:rPr>
        <w:t>Kentucky’s per pupil funding for the 2012-13 school year ranked</w:t>
      </w:r>
      <w:r w:rsidRPr="00F40195">
        <w:rPr>
          <w:rFonts w:cs="Times New Roman"/>
          <w:vertAlign w:val="superscript"/>
        </w:rPr>
        <w:t xml:space="preserve"> </w:t>
      </w:r>
      <w:r w:rsidRPr="00F40195">
        <w:rPr>
          <w:rFonts w:cs="Times New Roman"/>
        </w:rPr>
        <w:t>28</w:t>
      </w:r>
      <w:r w:rsidRPr="00F40195">
        <w:rPr>
          <w:rFonts w:cs="Times New Roman"/>
          <w:vertAlign w:val="superscript"/>
        </w:rPr>
        <w:t>th</w:t>
      </w:r>
      <w:r w:rsidRPr="00F40195">
        <w:rPr>
          <w:rFonts w:cs="Times New Roman"/>
        </w:rPr>
        <w:t xml:space="preserve"> in the nation and was behind 3 of the 7 comparable states. In 2</w:t>
      </w:r>
      <w:r w:rsidR="00A541EA">
        <w:rPr>
          <w:rFonts w:cs="Times New Roman"/>
        </w:rPr>
        <w:t>012-13 Kentucky spent $633 (8.0 percent</w:t>
      </w:r>
      <w:r w:rsidRPr="00F40195">
        <w:rPr>
          <w:rFonts w:cs="Times New Roman"/>
        </w:rPr>
        <w:t>) less per pupil than the national average (NEA, 2014). The gap between per pupil spending in Kentucky and the national average has stayed fairly consistent over the past decade, as can be seen in Chart 2.1.</w:t>
      </w:r>
    </w:p>
    <w:p w:rsidR="004A0CA1" w:rsidRDefault="004A0CA1">
      <w:pPr>
        <w:rPr>
          <w:rFonts w:cs="Times New Roman"/>
          <w:b/>
        </w:rPr>
      </w:pPr>
      <w:r>
        <w:rPr>
          <w:rFonts w:cs="Times New Roman"/>
          <w:b/>
        </w:rPr>
        <w:br w:type="page"/>
      </w:r>
    </w:p>
    <w:p w:rsidR="00F74C20" w:rsidRDefault="00F74C20" w:rsidP="00F74C20">
      <w:pPr>
        <w:widowControl w:val="0"/>
        <w:tabs>
          <w:tab w:val="left" w:pos="940"/>
          <w:tab w:val="left" w:pos="1440"/>
        </w:tabs>
        <w:autoSpaceDE w:val="0"/>
        <w:autoSpaceDN w:val="0"/>
        <w:adjustRightInd w:val="0"/>
        <w:spacing w:line="240" w:lineRule="auto"/>
        <w:jc w:val="center"/>
        <w:rPr>
          <w:rFonts w:cs="Times New Roman"/>
          <w:b/>
        </w:rPr>
      </w:pPr>
      <w:r>
        <w:rPr>
          <w:rFonts w:cs="Times New Roman"/>
          <w:b/>
        </w:rPr>
        <w:lastRenderedPageBreak/>
        <w:t>Chart 2.1</w:t>
      </w:r>
    </w:p>
    <w:p w:rsidR="00F74C20" w:rsidRDefault="00F02794" w:rsidP="00F74C20">
      <w:pPr>
        <w:widowControl w:val="0"/>
        <w:tabs>
          <w:tab w:val="left" w:pos="940"/>
          <w:tab w:val="left" w:pos="1440"/>
        </w:tabs>
        <w:autoSpaceDE w:val="0"/>
        <w:autoSpaceDN w:val="0"/>
        <w:adjustRightInd w:val="0"/>
        <w:spacing w:line="240" w:lineRule="auto"/>
        <w:jc w:val="center"/>
        <w:rPr>
          <w:rFonts w:cs="Times New Roman"/>
          <w:b/>
        </w:rPr>
      </w:pPr>
      <w:r w:rsidRPr="00F40195">
        <w:rPr>
          <w:rFonts w:cs="Times New Roman"/>
          <w:b/>
        </w:rPr>
        <w:t>Per Pupil Spending FY 2003-04 to 2012-13</w:t>
      </w:r>
    </w:p>
    <w:p w:rsidR="00F74C20" w:rsidRDefault="00F74C20" w:rsidP="00F74C20">
      <w:pPr>
        <w:widowControl w:val="0"/>
        <w:tabs>
          <w:tab w:val="left" w:pos="940"/>
          <w:tab w:val="left" w:pos="1440"/>
        </w:tabs>
        <w:autoSpaceDE w:val="0"/>
        <w:autoSpaceDN w:val="0"/>
        <w:adjustRightInd w:val="0"/>
        <w:spacing w:line="240" w:lineRule="auto"/>
        <w:jc w:val="center"/>
        <w:rPr>
          <w:rFonts w:cs="Times New Roman"/>
          <w:noProof/>
        </w:rPr>
      </w:pPr>
    </w:p>
    <w:p w:rsidR="00F74C20" w:rsidRDefault="00F02794" w:rsidP="00F40195">
      <w:pPr>
        <w:widowControl w:val="0"/>
        <w:tabs>
          <w:tab w:val="left" w:pos="940"/>
          <w:tab w:val="left" w:pos="1440"/>
        </w:tabs>
        <w:autoSpaceDE w:val="0"/>
        <w:autoSpaceDN w:val="0"/>
        <w:adjustRightInd w:val="0"/>
        <w:spacing w:after="320" w:line="240" w:lineRule="auto"/>
        <w:rPr>
          <w:rFonts w:cs="Times New Roman"/>
          <w:sz w:val="22"/>
        </w:rPr>
      </w:pPr>
      <w:r w:rsidRPr="00F40195">
        <w:rPr>
          <w:rFonts w:cs="Times New Roman"/>
          <w:noProof/>
        </w:rPr>
        <w:drawing>
          <wp:inline distT="0" distB="0" distL="0" distR="0">
            <wp:extent cx="5486400" cy="24511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2794" w:rsidRPr="00F40195" w:rsidRDefault="00F74C20" w:rsidP="00F40195">
      <w:pPr>
        <w:widowControl w:val="0"/>
        <w:tabs>
          <w:tab w:val="left" w:pos="940"/>
          <w:tab w:val="left" w:pos="1440"/>
        </w:tabs>
        <w:autoSpaceDE w:val="0"/>
        <w:autoSpaceDN w:val="0"/>
        <w:adjustRightInd w:val="0"/>
        <w:spacing w:after="320" w:line="240" w:lineRule="auto"/>
        <w:rPr>
          <w:rFonts w:cs="Times New Roman"/>
        </w:rPr>
      </w:pPr>
      <w:r>
        <w:rPr>
          <w:rFonts w:cs="Times New Roman"/>
          <w:sz w:val="22"/>
        </w:rPr>
        <w:tab/>
      </w:r>
      <w:r w:rsidR="00F02794" w:rsidRPr="00F40195">
        <w:rPr>
          <w:rFonts w:cs="Times New Roman"/>
          <w:sz w:val="22"/>
        </w:rPr>
        <w:t>Source: NEA Rankings and Estimates, 2004 to 2014.</w:t>
      </w:r>
    </w:p>
    <w:p w:rsidR="00F02794" w:rsidRDefault="00F02794" w:rsidP="00F40195">
      <w:pPr>
        <w:spacing w:line="240" w:lineRule="auto"/>
        <w:rPr>
          <w:rFonts w:cs="Times New Roman"/>
        </w:rPr>
      </w:pPr>
      <w:r w:rsidRPr="00F40195">
        <w:rPr>
          <w:rFonts w:cs="Times New Roman"/>
        </w:rPr>
        <w:t xml:space="preserve">While Kentucky’s per pupil funding amounts lag behind the national average </w:t>
      </w:r>
      <w:r w:rsidR="0089545B">
        <w:rPr>
          <w:rFonts w:cs="Times New Roman"/>
        </w:rPr>
        <w:t>they tend to rank in the middle of comparable states</w:t>
      </w:r>
      <w:r w:rsidRPr="00F40195">
        <w:rPr>
          <w:rFonts w:cs="Times New Roman"/>
        </w:rPr>
        <w:t>. In 2012-13 three of the comparable states had higher per pupil amounts than Kentucky and four had lower amounts (See Chart 2.2).</w:t>
      </w:r>
    </w:p>
    <w:p w:rsidR="00F02794" w:rsidRPr="00F40195" w:rsidRDefault="00F02794" w:rsidP="00F40195">
      <w:pPr>
        <w:spacing w:line="240" w:lineRule="auto"/>
        <w:rPr>
          <w:rFonts w:cs="Times New Roman"/>
        </w:rPr>
      </w:pPr>
    </w:p>
    <w:p w:rsidR="00F74C20" w:rsidRDefault="00F74C20" w:rsidP="00F74C20">
      <w:pPr>
        <w:spacing w:line="240" w:lineRule="auto"/>
        <w:jc w:val="center"/>
        <w:rPr>
          <w:rFonts w:cs="Times New Roman"/>
          <w:b/>
        </w:rPr>
      </w:pPr>
      <w:r>
        <w:rPr>
          <w:rFonts w:cs="Times New Roman"/>
          <w:b/>
        </w:rPr>
        <w:t>Chart 2.2</w:t>
      </w:r>
    </w:p>
    <w:p w:rsidR="00F02794" w:rsidRDefault="00F02794" w:rsidP="00F74C20">
      <w:pPr>
        <w:spacing w:line="240" w:lineRule="auto"/>
        <w:jc w:val="center"/>
        <w:rPr>
          <w:rFonts w:cs="Times New Roman"/>
          <w:b/>
        </w:rPr>
      </w:pPr>
      <w:r w:rsidRPr="00F40195">
        <w:rPr>
          <w:rFonts w:cs="Times New Roman"/>
          <w:b/>
        </w:rPr>
        <w:t>Per Pupil Spending FY 2012-13</w:t>
      </w:r>
    </w:p>
    <w:p w:rsidR="00F74C20" w:rsidRPr="00F40195" w:rsidRDefault="00F74C20" w:rsidP="00F74C20">
      <w:pPr>
        <w:spacing w:line="240" w:lineRule="auto"/>
        <w:jc w:val="center"/>
        <w:rPr>
          <w:rFonts w:cs="Times New Roman"/>
          <w:b/>
        </w:rPr>
      </w:pPr>
    </w:p>
    <w:p w:rsidR="00F02794" w:rsidRPr="00F40195" w:rsidRDefault="00F02794" w:rsidP="00F74C20">
      <w:pPr>
        <w:spacing w:line="240" w:lineRule="auto"/>
        <w:jc w:val="center"/>
        <w:rPr>
          <w:rFonts w:cs="Times New Roman"/>
        </w:rPr>
      </w:pPr>
      <w:r w:rsidRPr="00F40195">
        <w:rPr>
          <w:rFonts w:cs="Times New Roman"/>
          <w:noProof/>
        </w:rPr>
        <w:drawing>
          <wp:inline distT="0" distB="0" distL="0" distR="0">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2794" w:rsidRPr="00F40195" w:rsidRDefault="00F02794" w:rsidP="00F74C20">
      <w:pPr>
        <w:spacing w:line="240" w:lineRule="auto"/>
        <w:ind w:left="720" w:firstLine="720"/>
        <w:rPr>
          <w:rFonts w:cs="Times New Roman"/>
          <w:sz w:val="22"/>
        </w:rPr>
      </w:pPr>
      <w:r w:rsidRPr="00F40195">
        <w:rPr>
          <w:rFonts w:cs="Times New Roman"/>
          <w:sz w:val="22"/>
        </w:rPr>
        <w:t xml:space="preserve">Source: NEA </w:t>
      </w:r>
      <w:r w:rsidR="003D442F">
        <w:rPr>
          <w:rFonts w:cs="Times New Roman"/>
          <w:sz w:val="22"/>
        </w:rPr>
        <w:t>(2014)</w:t>
      </w:r>
    </w:p>
    <w:p w:rsidR="00F02794" w:rsidRPr="00F40195" w:rsidRDefault="00F02794" w:rsidP="00F40195">
      <w:pPr>
        <w:spacing w:line="240" w:lineRule="auto"/>
        <w:rPr>
          <w:rFonts w:cs="Times New Roman"/>
        </w:rPr>
      </w:pPr>
    </w:p>
    <w:p w:rsidR="00F02794" w:rsidRPr="00F40195" w:rsidRDefault="00F02794" w:rsidP="00F40195">
      <w:pPr>
        <w:spacing w:line="240" w:lineRule="auto"/>
        <w:rPr>
          <w:rFonts w:cs="Times New Roman"/>
        </w:rPr>
      </w:pPr>
      <w:r w:rsidRPr="00F40195">
        <w:rPr>
          <w:rFonts w:cs="Times New Roman"/>
        </w:rPr>
        <w:t xml:space="preserve">One issue that can explain part of Kentucky’s below average per pupil spending is the state’s commitment to K-12 education in </w:t>
      </w:r>
      <w:r w:rsidR="00083883">
        <w:rPr>
          <w:rFonts w:cs="Times New Roman"/>
        </w:rPr>
        <w:t>the state</w:t>
      </w:r>
      <w:r w:rsidR="00083883" w:rsidRPr="00F40195">
        <w:rPr>
          <w:rFonts w:cs="Times New Roman"/>
        </w:rPr>
        <w:t xml:space="preserve"> </w:t>
      </w:r>
      <w:r w:rsidRPr="00F40195">
        <w:rPr>
          <w:rFonts w:cs="Times New Roman"/>
        </w:rPr>
        <w:t xml:space="preserve">budget. Over the past decade Kentucky has committed a lower percentage of its total </w:t>
      </w:r>
      <w:r w:rsidR="00083883">
        <w:rPr>
          <w:rFonts w:cs="Times New Roman"/>
        </w:rPr>
        <w:t xml:space="preserve">state </w:t>
      </w:r>
      <w:r w:rsidRPr="00F40195">
        <w:rPr>
          <w:rFonts w:cs="Times New Roman"/>
        </w:rPr>
        <w:t>expenditures to K-12 education than the national average – while the difference between Kentucky and the natio</w:t>
      </w:r>
      <w:r w:rsidR="00A541EA">
        <w:rPr>
          <w:rFonts w:cs="Times New Roman"/>
        </w:rPr>
        <w:t>nal average tends to be below 2 percent</w:t>
      </w:r>
      <w:r w:rsidRPr="00F40195">
        <w:rPr>
          <w:rFonts w:cs="Times New Roman"/>
        </w:rPr>
        <w:t xml:space="preserve"> - that can still make a difference in educat</w:t>
      </w:r>
      <w:r w:rsidR="00A541EA">
        <w:rPr>
          <w:rFonts w:cs="Times New Roman"/>
        </w:rPr>
        <w:t>ion funding. In FY 2012-13 19.6 percent</w:t>
      </w:r>
      <w:r w:rsidRPr="00F40195">
        <w:rPr>
          <w:rFonts w:cs="Times New Roman"/>
        </w:rPr>
        <w:t xml:space="preserve"> of Kentucky’s total expenditures went t</w:t>
      </w:r>
      <w:r w:rsidR="00A541EA">
        <w:rPr>
          <w:rFonts w:cs="Times New Roman"/>
        </w:rPr>
        <w:t>o K-12 education – this was 0.4 percent</w:t>
      </w:r>
      <w:r w:rsidRPr="00F40195">
        <w:rPr>
          <w:rFonts w:cs="Times New Roman"/>
        </w:rPr>
        <w:t xml:space="preserve"> bel</w:t>
      </w:r>
      <w:r w:rsidR="00A541EA">
        <w:rPr>
          <w:rFonts w:cs="Times New Roman"/>
        </w:rPr>
        <w:t>ow the national average of 20.0 percent</w:t>
      </w:r>
      <w:r w:rsidRPr="00F40195">
        <w:rPr>
          <w:rFonts w:cs="Times New Roman"/>
        </w:rPr>
        <w:t>. If Kentucky ha</w:t>
      </w:r>
      <w:r w:rsidR="0022709A" w:rsidRPr="00F40195">
        <w:rPr>
          <w:rFonts w:cs="Times New Roman"/>
        </w:rPr>
        <w:t>d</w:t>
      </w:r>
      <w:r w:rsidRPr="00F40195">
        <w:rPr>
          <w:rFonts w:cs="Times New Roman"/>
        </w:rPr>
        <w:t xml:space="preserve"> increased </w:t>
      </w:r>
      <w:r w:rsidR="0022709A" w:rsidRPr="00F40195">
        <w:rPr>
          <w:rFonts w:cs="Times New Roman"/>
        </w:rPr>
        <w:t xml:space="preserve">its </w:t>
      </w:r>
      <w:r w:rsidRPr="00F40195">
        <w:rPr>
          <w:rFonts w:cs="Times New Roman"/>
        </w:rPr>
        <w:t>K-12 expenditures to meet the national average it would have provided an additional $101.7 million for K-12 education equating to an additional $153.6</w:t>
      </w:r>
      <w:r w:rsidR="0022709A" w:rsidRPr="00F40195">
        <w:rPr>
          <w:rFonts w:cs="Times New Roman"/>
        </w:rPr>
        <w:t>0</w:t>
      </w:r>
      <w:r w:rsidRPr="00F40195">
        <w:rPr>
          <w:rFonts w:cs="Times New Roman"/>
        </w:rPr>
        <w:t xml:space="preserve"> per pupil. </w:t>
      </w:r>
    </w:p>
    <w:p w:rsidR="00F02794" w:rsidRPr="00F40195" w:rsidRDefault="00F02794" w:rsidP="00F40195">
      <w:pPr>
        <w:spacing w:line="240" w:lineRule="auto"/>
        <w:rPr>
          <w:rFonts w:cs="Times New Roman"/>
        </w:rPr>
      </w:pPr>
    </w:p>
    <w:p w:rsidR="00F02794" w:rsidRPr="00F40195" w:rsidRDefault="00F02794" w:rsidP="008D674A">
      <w:pPr>
        <w:pStyle w:val="Heading3"/>
      </w:pPr>
      <w:bookmarkStart w:id="72" w:name="_Toc385250729"/>
      <w:bookmarkStart w:id="73" w:name="_Toc395180671"/>
      <w:r w:rsidRPr="00F40195">
        <w:t>Below Average Teacher Salaries</w:t>
      </w:r>
      <w:bookmarkEnd w:id="72"/>
      <w:bookmarkEnd w:id="73"/>
    </w:p>
    <w:p w:rsidR="00DF5C8C" w:rsidRDefault="00F02794" w:rsidP="0030434D">
      <w:pPr>
        <w:spacing w:line="240" w:lineRule="auto"/>
        <w:rPr>
          <w:rFonts w:cs="Times New Roman"/>
          <w:b/>
        </w:rPr>
      </w:pPr>
      <w:r w:rsidRPr="00F40195">
        <w:rPr>
          <w:rFonts w:cs="Times New Roman"/>
        </w:rPr>
        <w:t xml:space="preserve">Over the past decade Kentucky’s average classroom teacher salary has trailed the national average. In FY 2012-13 the average classroom teacher salary in Kentucky was </w:t>
      </w:r>
      <w:r w:rsidR="00A541EA">
        <w:rPr>
          <w:rFonts w:cs="Times New Roman"/>
        </w:rPr>
        <w:t>$50,203, which was $5,900 (10.5 percent</w:t>
      </w:r>
      <w:r w:rsidRPr="00F40195">
        <w:rPr>
          <w:rFonts w:cs="Times New Roman"/>
        </w:rPr>
        <w:t>) below the national average. Between FY 2003-04 and FY 2012-13 Kentucky’s average classroom teacher salaries trailed the national average by between 10.2</w:t>
      </w:r>
      <w:r w:rsidR="00001E7F" w:rsidRPr="00F40195">
        <w:rPr>
          <w:rFonts w:cs="Times New Roman"/>
        </w:rPr>
        <w:t xml:space="preserve"> percent</w:t>
      </w:r>
      <w:r w:rsidRPr="00F40195">
        <w:rPr>
          <w:rFonts w:cs="Times New Roman"/>
        </w:rPr>
        <w:t xml:space="preserve"> and 14.1</w:t>
      </w:r>
      <w:r w:rsidR="00001E7F" w:rsidRPr="00F40195">
        <w:rPr>
          <w:rFonts w:cs="Times New Roman"/>
        </w:rPr>
        <w:t xml:space="preserve"> percent</w:t>
      </w:r>
      <w:r w:rsidRPr="00F40195">
        <w:rPr>
          <w:rFonts w:cs="Times New Roman"/>
        </w:rPr>
        <w:t>. To view the gap in average teacher salaries see Chart 2.3.</w:t>
      </w:r>
      <w:r w:rsidR="00083883">
        <w:rPr>
          <w:rFonts w:cs="Times New Roman"/>
        </w:rPr>
        <w:t xml:space="preserve">  </w:t>
      </w:r>
      <w:r w:rsidR="00DF5C8C">
        <w:rPr>
          <w:rFonts w:cs="Times New Roman"/>
          <w:b/>
        </w:rPr>
        <w:br w:type="page"/>
      </w:r>
    </w:p>
    <w:p w:rsidR="00F02794" w:rsidRPr="00F40195" w:rsidRDefault="00F02794" w:rsidP="00F40195">
      <w:pPr>
        <w:spacing w:line="240" w:lineRule="auto"/>
        <w:rPr>
          <w:rFonts w:cs="Times New Roman"/>
          <w:b/>
        </w:rPr>
      </w:pPr>
    </w:p>
    <w:p w:rsidR="00F74C20" w:rsidRDefault="00F74C20" w:rsidP="00844962">
      <w:pPr>
        <w:keepNext/>
        <w:spacing w:line="240" w:lineRule="auto"/>
        <w:jc w:val="center"/>
        <w:rPr>
          <w:rFonts w:cs="Times New Roman"/>
          <w:b/>
        </w:rPr>
      </w:pPr>
      <w:r>
        <w:rPr>
          <w:rFonts w:cs="Times New Roman"/>
          <w:b/>
        </w:rPr>
        <w:t>Chart 2.3</w:t>
      </w:r>
    </w:p>
    <w:p w:rsidR="00F02794" w:rsidRDefault="00F02794" w:rsidP="00F74C20">
      <w:pPr>
        <w:spacing w:line="240" w:lineRule="auto"/>
        <w:jc w:val="center"/>
        <w:rPr>
          <w:rFonts w:cs="Times New Roman"/>
          <w:b/>
        </w:rPr>
      </w:pPr>
      <w:r w:rsidRPr="00F40195">
        <w:rPr>
          <w:rFonts w:cs="Times New Roman"/>
          <w:b/>
        </w:rPr>
        <w:t>Average Classroom Teacher Salaries – FY 2003-04 to 2012-13</w:t>
      </w:r>
    </w:p>
    <w:p w:rsidR="00F74C20" w:rsidRPr="00F40195" w:rsidRDefault="00F74C20" w:rsidP="00F40195">
      <w:pPr>
        <w:spacing w:line="240" w:lineRule="auto"/>
        <w:rPr>
          <w:rFonts w:cs="Times New Roman"/>
          <w:b/>
        </w:rPr>
      </w:pPr>
    </w:p>
    <w:p w:rsidR="00F02794" w:rsidRPr="00F40195" w:rsidRDefault="00F02794" w:rsidP="00F74C20">
      <w:pPr>
        <w:spacing w:line="240" w:lineRule="auto"/>
        <w:jc w:val="center"/>
        <w:rPr>
          <w:rFonts w:cs="Times New Roman"/>
        </w:rPr>
      </w:pPr>
      <w:r w:rsidRPr="00F40195">
        <w:rPr>
          <w:rFonts w:cs="Times New Roman"/>
          <w:noProof/>
        </w:rPr>
        <w:drawing>
          <wp:inline distT="0" distB="0" distL="0" distR="0">
            <wp:extent cx="4572000" cy="2456180"/>
            <wp:effectExtent l="0" t="0" r="25400" b="330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2794" w:rsidRPr="00F40195" w:rsidRDefault="00F02794" w:rsidP="00F74C20">
      <w:pPr>
        <w:spacing w:line="240" w:lineRule="auto"/>
        <w:ind w:left="720" w:firstLine="720"/>
        <w:rPr>
          <w:rFonts w:cs="Times New Roman"/>
          <w:sz w:val="22"/>
        </w:rPr>
      </w:pPr>
      <w:r w:rsidRPr="00F40195">
        <w:rPr>
          <w:rFonts w:cs="Times New Roman"/>
          <w:sz w:val="22"/>
        </w:rPr>
        <w:t xml:space="preserve">Source: NEA </w:t>
      </w:r>
      <w:r w:rsidR="003D442F">
        <w:rPr>
          <w:rFonts w:cs="Times New Roman"/>
          <w:sz w:val="22"/>
        </w:rPr>
        <w:t>(2014)</w:t>
      </w:r>
      <w:r w:rsidRPr="00F40195">
        <w:rPr>
          <w:rFonts w:cs="Times New Roman"/>
          <w:sz w:val="22"/>
        </w:rPr>
        <w:tab/>
      </w:r>
      <w:r w:rsidRPr="00F40195">
        <w:rPr>
          <w:rFonts w:cs="Times New Roman"/>
          <w:sz w:val="22"/>
        </w:rPr>
        <w:tab/>
      </w:r>
    </w:p>
    <w:p w:rsidR="00F02794" w:rsidRPr="00F40195" w:rsidRDefault="00F02794" w:rsidP="00F40195">
      <w:pPr>
        <w:spacing w:line="240" w:lineRule="auto"/>
        <w:rPr>
          <w:rFonts w:cs="Times New Roman"/>
        </w:rPr>
      </w:pPr>
    </w:p>
    <w:p w:rsidR="00F02794" w:rsidRPr="00F40195" w:rsidRDefault="00F02794" w:rsidP="00F40195">
      <w:pPr>
        <w:spacing w:line="240" w:lineRule="auto"/>
        <w:rPr>
          <w:rFonts w:cs="Times New Roman"/>
        </w:rPr>
      </w:pPr>
      <w:r w:rsidRPr="00F40195">
        <w:rPr>
          <w:rFonts w:cs="Times New Roman"/>
        </w:rPr>
        <w:t>Some school districts in Kentucky have to compete with school districts in Indiana and Ohio to hire or retain teachers. In FY 2003-04 the average classroom teacher pay in Indiana was13.8</w:t>
      </w:r>
      <w:r w:rsidR="00D776E4" w:rsidRPr="00F40195">
        <w:rPr>
          <w:rFonts w:cs="Times New Roman"/>
        </w:rPr>
        <w:t xml:space="preserve"> percent</w:t>
      </w:r>
      <w:r w:rsidRPr="00F40195">
        <w:rPr>
          <w:rFonts w:cs="Times New Roman"/>
        </w:rPr>
        <w:t xml:space="preserve"> higher than Kentucky while the average pay in Ohio was 18.0</w:t>
      </w:r>
      <w:r w:rsidR="00D776E4" w:rsidRPr="00F40195">
        <w:rPr>
          <w:rFonts w:cs="Times New Roman"/>
        </w:rPr>
        <w:t xml:space="preserve"> percent</w:t>
      </w:r>
      <w:r w:rsidRPr="00F40195">
        <w:rPr>
          <w:rFonts w:cs="Times New Roman"/>
        </w:rPr>
        <w:t xml:space="preserve"> higher. Over the decade the gap between classroom teacher pay between Kentucky and Ohio has closed somewhat to 12.2</w:t>
      </w:r>
      <w:r w:rsidR="00D776E4" w:rsidRPr="00F40195">
        <w:rPr>
          <w:rFonts w:cs="Times New Roman"/>
        </w:rPr>
        <w:t xml:space="preserve"> percent</w:t>
      </w:r>
      <w:r w:rsidRPr="00F40195">
        <w:rPr>
          <w:rFonts w:cs="Times New Roman"/>
        </w:rPr>
        <w:t xml:space="preserve"> while the gap between Kentucky and Indiana </w:t>
      </w:r>
      <w:r w:rsidR="003E7F2C">
        <w:rPr>
          <w:rFonts w:cs="Times New Roman"/>
        </w:rPr>
        <w:t>ha</w:t>
      </w:r>
      <w:r w:rsidRPr="00F40195">
        <w:rPr>
          <w:rFonts w:cs="Times New Roman"/>
        </w:rPr>
        <w:t>s com</w:t>
      </w:r>
      <w:r w:rsidR="003D442F">
        <w:rPr>
          <w:rFonts w:cs="Times New Roman"/>
        </w:rPr>
        <w:t>pletely closed (see Chart 2.4).</w:t>
      </w:r>
    </w:p>
    <w:p w:rsidR="00F74C20" w:rsidRDefault="00F74C20" w:rsidP="00F74C20">
      <w:pPr>
        <w:spacing w:line="240" w:lineRule="auto"/>
        <w:jc w:val="center"/>
        <w:rPr>
          <w:rFonts w:cs="Times New Roman"/>
          <w:b/>
        </w:rPr>
      </w:pPr>
      <w:r>
        <w:rPr>
          <w:rFonts w:cs="Times New Roman"/>
          <w:b/>
        </w:rPr>
        <w:t>Chart 2.4</w:t>
      </w:r>
    </w:p>
    <w:p w:rsidR="00F02794" w:rsidRDefault="00F02794" w:rsidP="00F74C20">
      <w:pPr>
        <w:spacing w:line="240" w:lineRule="auto"/>
        <w:jc w:val="center"/>
        <w:rPr>
          <w:rFonts w:cs="Times New Roman"/>
          <w:b/>
        </w:rPr>
      </w:pPr>
      <w:r w:rsidRPr="00F40195">
        <w:rPr>
          <w:rFonts w:cs="Times New Roman"/>
          <w:b/>
        </w:rPr>
        <w:t>Average Classroom Teacher Pay</w:t>
      </w:r>
    </w:p>
    <w:p w:rsidR="00F74C20" w:rsidRPr="00F40195" w:rsidRDefault="00F74C20" w:rsidP="00F40195">
      <w:pPr>
        <w:spacing w:line="240" w:lineRule="auto"/>
        <w:rPr>
          <w:rFonts w:cs="Times New Roman"/>
          <w:b/>
        </w:rPr>
      </w:pPr>
    </w:p>
    <w:p w:rsidR="00F02794" w:rsidRPr="00F40195" w:rsidRDefault="00F02794" w:rsidP="00F74C20">
      <w:pPr>
        <w:spacing w:line="240" w:lineRule="auto"/>
        <w:jc w:val="center"/>
        <w:rPr>
          <w:rFonts w:cs="Times New Roman"/>
        </w:rPr>
      </w:pPr>
      <w:r w:rsidRPr="00F40195">
        <w:rPr>
          <w:rFonts w:cs="Times New Roman"/>
          <w:noProof/>
        </w:rPr>
        <w:drawing>
          <wp:inline distT="0" distB="0" distL="0" distR="0">
            <wp:extent cx="4572000" cy="2517140"/>
            <wp:effectExtent l="0" t="0" r="2540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2794" w:rsidRPr="00F40195" w:rsidRDefault="00F02794" w:rsidP="00F74C20">
      <w:pPr>
        <w:spacing w:line="240" w:lineRule="auto"/>
        <w:ind w:left="720" w:firstLine="720"/>
        <w:rPr>
          <w:rFonts w:cs="Times New Roman"/>
          <w:sz w:val="22"/>
        </w:rPr>
      </w:pPr>
      <w:r w:rsidRPr="00F40195">
        <w:rPr>
          <w:rFonts w:cs="Times New Roman"/>
          <w:sz w:val="22"/>
        </w:rPr>
        <w:t xml:space="preserve">Source: NEA </w:t>
      </w:r>
      <w:r w:rsidR="003D442F">
        <w:rPr>
          <w:rFonts w:cs="Times New Roman"/>
          <w:sz w:val="22"/>
        </w:rPr>
        <w:t>(</w:t>
      </w:r>
      <w:r w:rsidRPr="00F40195">
        <w:rPr>
          <w:rFonts w:cs="Times New Roman"/>
          <w:sz w:val="22"/>
        </w:rPr>
        <w:t>2014</w:t>
      </w:r>
      <w:r w:rsidR="003D442F">
        <w:rPr>
          <w:rFonts w:cs="Times New Roman"/>
          <w:sz w:val="22"/>
        </w:rPr>
        <w:t>)</w:t>
      </w:r>
    </w:p>
    <w:p w:rsidR="00F02794" w:rsidRPr="00F40195" w:rsidRDefault="00F02794" w:rsidP="00F40195">
      <w:pPr>
        <w:spacing w:line="240" w:lineRule="auto"/>
        <w:rPr>
          <w:rFonts w:cs="Times New Roman"/>
          <w:b/>
          <w:u w:val="single"/>
        </w:rPr>
      </w:pPr>
    </w:p>
    <w:p w:rsidR="00F02794" w:rsidRPr="00F40195" w:rsidRDefault="00F02794" w:rsidP="00453660">
      <w:pPr>
        <w:pStyle w:val="Heading3"/>
        <w:spacing w:before="0" w:after="0"/>
      </w:pPr>
      <w:bookmarkStart w:id="74" w:name="_Toc385250730"/>
      <w:bookmarkStart w:id="75" w:name="_Toc395180672"/>
      <w:r w:rsidRPr="00F40195">
        <w:t>Mixed Educational Outcomes</w:t>
      </w:r>
      <w:bookmarkEnd w:id="74"/>
      <w:bookmarkEnd w:id="75"/>
    </w:p>
    <w:p w:rsidR="00F02794" w:rsidRDefault="00F02794" w:rsidP="00453660">
      <w:pPr>
        <w:spacing w:line="240" w:lineRule="auto"/>
        <w:rPr>
          <w:rFonts w:cs="Times New Roman"/>
        </w:rPr>
      </w:pPr>
      <w:r w:rsidRPr="00F40195">
        <w:rPr>
          <w:rFonts w:cs="Times New Roman"/>
        </w:rPr>
        <w:t xml:space="preserve">This study reviewed two different types of educational outcomes the first </w:t>
      </w:r>
      <w:r w:rsidR="00240555">
        <w:rPr>
          <w:rFonts w:cs="Times New Roman"/>
        </w:rPr>
        <w:t>is</w:t>
      </w:r>
      <w:r w:rsidR="00240555" w:rsidRPr="00F40195">
        <w:rPr>
          <w:rFonts w:cs="Times New Roman"/>
        </w:rPr>
        <w:t xml:space="preserve"> </w:t>
      </w:r>
      <w:r w:rsidRPr="00F40195">
        <w:rPr>
          <w:rFonts w:cs="Times New Roman"/>
        </w:rPr>
        <w:t xml:space="preserve">high school graduation rates and the second </w:t>
      </w:r>
      <w:r w:rsidR="00240555">
        <w:rPr>
          <w:rFonts w:cs="Times New Roman"/>
        </w:rPr>
        <w:t>is</w:t>
      </w:r>
      <w:r w:rsidR="00240555" w:rsidRPr="00F40195">
        <w:rPr>
          <w:rFonts w:cs="Times New Roman"/>
        </w:rPr>
        <w:t xml:space="preserve"> </w:t>
      </w:r>
      <w:r w:rsidR="000626AC" w:rsidRPr="00F40195">
        <w:rPr>
          <w:rFonts w:cs="Times New Roman"/>
        </w:rPr>
        <w:t>the</w:t>
      </w:r>
      <w:r w:rsidRPr="00F40195">
        <w:rPr>
          <w:rFonts w:cs="Times New Roman"/>
        </w:rPr>
        <w:t xml:space="preserve"> National Assessment of Educational Progress (NAEP) exam results. According to National Center for Educational Statistics (NCES) Kentucky’s four-year high school graduation rate generally exceeded the national average over the past five years (see Chart 2.5)</w:t>
      </w:r>
      <w:r w:rsidR="00240555">
        <w:rPr>
          <w:rFonts w:cs="Times New Roman"/>
        </w:rPr>
        <w:t>.</w:t>
      </w:r>
    </w:p>
    <w:p w:rsidR="00F74C20" w:rsidRPr="00F40195" w:rsidRDefault="00F74C20" w:rsidP="00F40195">
      <w:pPr>
        <w:spacing w:line="240" w:lineRule="auto"/>
        <w:rPr>
          <w:rFonts w:cs="Times New Roman"/>
        </w:rPr>
      </w:pPr>
    </w:p>
    <w:p w:rsidR="00F74C20" w:rsidRDefault="00F74C20" w:rsidP="00F74C20">
      <w:pPr>
        <w:spacing w:line="240" w:lineRule="auto"/>
        <w:jc w:val="center"/>
        <w:rPr>
          <w:rFonts w:cs="Times New Roman"/>
          <w:b/>
        </w:rPr>
      </w:pPr>
      <w:r>
        <w:rPr>
          <w:rFonts w:cs="Times New Roman"/>
          <w:b/>
        </w:rPr>
        <w:t>Chart 2.5</w:t>
      </w:r>
    </w:p>
    <w:p w:rsidR="00F02794" w:rsidRDefault="00F02794" w:rsidP="00F74C20">
      <w:pPr>
        <w:spacing w:line="240" w:lineRule="auto"/>
        <w:jc w:val="center"/>
        <w:rPr>
          <w:rFonts w:cs="Times New Roman"/>
          <w:b/>
        </w:rPr>
      </w:pPr>
      <w:r w:rsidRPr="00F40195">
        <w:rPr>
          <w:rFonts w:cs="Times New Roman"/>
          <w:b/>
        </w:rPr>
        <w:t>Four-Year High School Graduation Rates</w:t>
      </w:r>
    </w:p>
    <w:p w:rsidR="00F74C20" w:rsidRPr="00F40195" w:rsidRDefault="00F74C20" w:rsidP="00F40195">
      <w:pPr>
        <w:spacing w:line="240" w:lineRule="auto"/>
        <w:rPr>
          <w:rFonts w:cs="Times New Roman"/>
          <w:b/>
        </w:rPr>
      </w:pPr>
    </w:p>
    <w:p w:rsidR="00F02794" w:rsidRPr="00F40195" w:rsidRDefault="00F02794" w:rsidP="00F74C20">
      <w:pPr>
        <w:spacing w:line="240" w:lineRule="auto"/>
        <w:jc w:val="center"/>
        <w:rPr>
          <w:rFonts w:cs="Times New Roman"/>
        </w:rPr>
      </w:pPr>
      <w:r w:rsidRPr="00F40195">
        <w:rPr>
          <w:rFonts w:cs="Times New Roman"/>
          <w:noProof/>
        </w:rPr>
        <w:drawing>
          <wp:inline distT="0" distB="0" distL="0" distR="0">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2794" w:rsidRPr="00F40195" w:rsidRDefault="00F02794" w:rsidP="00F74C20">
      <w:pPr>
        <w:spacing w:line="240" w:lineRule="auto"/>
        <w:ind w:left="720" w:firstLine="720"/>
        <w:rPr>
          <w:rFonts w:cs="Times New Roman"/>
          <w:sz w:val="22"/>
        </w:rPr>
      </w:pPr>
      <w:r w:rsidRPr="00F40195">
        <w:rPr>
          <w:rFonts w:cs="Times New Roman"/>
          <w:sz w:val="22"/>
        </w:rPr>
        <w:t xml:space="preserve">Source: </w:t>
      </w:r>
      <w:r w:rsidR="003D442F">
        <w:rPr>
          <w:rFonts w:cs="Times New Roman"/>
          <w:sz w:val="22"/>
        </w:rPr>
        <w:t>NCES (2014)</w:t>
      </w:r>
    </w:p>
    <w:p w:rsidR="00F02794" w:rsidRPr="00F40195" w:rsidRDefault="00F02794" w:rsidP="00F40195">
      <w:pPr>
        <w:spacing w:line="240" w:lineRule="auto"/>
        <w:rPr>
          <w:rFonts w:cs="Times New Roman"/>
          <w:sz w:val="22"/>
        </w:rPr>
      </w:pPr>
    </w:p>
    <w:p w:rsidR="00F02794" w:rsidRPr="00F40195" w:rsidRDefault="00F02794" w:rsidP="00F40195">
      <w:pPr>
        <w:spacing w:line="240" w:lineRule="auto"/>
        <w:rPr>
          <w:rFonts w:cs="Times New Roman"/>
        </w:rPr>
      </w:pPr>
      <w:r w:rsidRPr="00F40195">
        <w:rPr>
          <w:rFonts w:cs="Times New Roman"/>
        </w:rPr>
        <w:t xml:space="preserve">While Kentucky’s four-year high school graduation rate tends to be above the national average it also tends to </w:t>
      </w:r>
      <w:r w:rsidR="00240555">
        <w:rPr>
          <w:rFonts w:cs="Times New Roman"/>
        </w:rPr>
        <w:t>fall in the middle of</w:t>
      </w:r>
      <w:r w:rsidRPr="00F40195">
        <w:rPr>
          <w:rFonts w:cs="Times New Roman"/>
        </w:rPr>
        <w:t xml:space="preserve"> the comparable states. In FY 2009-10 Kentucky’s graduation rate of 79.9</w:t>
      </w:r>
      <w:r w:rsidR="00D776E4" w:rsidRPr="00F40195">
        <w:rPr>
          <w:rFonts w:cs="Times New Roman"/>
        </w:rPr>
        <w:t xml:space="preserve"> percent</w:t>
      </w:r>
      <w:r w:rsidR="00A541EA">
        <w:rPr>
          <w:rFonts w:cs="Times New Roman"/>
        </w:rPr>
        <w:t xml:space="preserve"> trailed that of Missouri (83.7 percent), Ohio (81.4 percent) and Tennessee (80.4 percent) but above West Virginia (78.3 percent), Indiana (77.2 percent), Arkansas (75.0 percent) and Alabama (71.8 percent</w:t>
      </w:r>
      <w:r w:rsidRPr="00F40195">
        <w:rPr>
          <w:rFonts w:cs="Times New Roman"/>
        </w:rPr>
        <w:t>) (see Chart 2.6).</w:t>
      </w:r>
    </w:p>
    <w:p w:rsidR="00F02794" w:rsidRPr="00F40195" w:rsidRDefault="00F02794" w:rsidP="00F40195">
      <w:pPr>
        <w:spacing w:line="240" w:lineRule="auto"/>
        <w:rPr>
          <w:rFonts w:cs="Times New Roman"/>
        </w:rPr>
      </w:pPr>
    </w:p>
    <w:p w:rsidR="00F74C20" w:rsidRDefault="00F74C20">
      <w:pPr>
        <w:rPr>
          <w:rFonts w:cs="Times New Roman"/>
          <w:b/>
        </w:rPr>
      </w:pPr>
      <w:r>
        <w:rPr>
          <w:rFonts w:cs="Times New Roman"/>
          <w:b/>
        </w:rPr>
        <w:br w:type="page"/>
      </w:r>
    </w:p>
    <w:p w:rsidR="00F74C20" w:rsidRPr="00F74C20" w:rsidRDefault="00F74C20" w:rsidP="00F74C20">
      <w:pPr>
        <w:spacing w:line="240" w:lineRule="auto"/>
        <w:jc w:val="center"/>
        <w:rPr>
          <w:rFonts w:cs="Times New Roman"/>
          <w:b/>
        </w:rPr>
      </w:pPr>
      <w:r w:rsidRPr="00F74C20">
        <w:rPr>
          <w:rFonts w:cs="Times New Roman"/>
          <w:b/>
        </w:rPr>
        <w:lastRenderedPageBreak/>
        <w:t>Chart 2.6</w:t>
      </w:r>
    </w:p>
    <w:p w:rsidR="00F02794" w:rsidRDefault="00F02794" w:rsidP="00F74C20">
      <w:pPr>
        <w:spacing w:line="240" w:lineRule="auto"/>
        <w:jc w:val="center"/>
        <w:rPr>
          <w:rFonts w:cs="Times New Roman"/>
          <w:b/>
        </w:rPr>
      </w:pPr>
      <w:r w:rsidRPr="00F74C20">
        <w:rPr>
          <w:rFonts w:cs="Times New Roman"/>
          <w:b/>
        </w:rPr>
        <w:t>Four-Year High School Graduation Rates – 2009-10</w:t>
      </w:r>
    </w:p>
    <w:p w:rsidR="00F74C20" w:rsidRPr="00F74C20" w:rsidRDefault="00F74C20" w:rsidP="00F74C20">
      <w:pPr>
        <w:spacing w:line="240" w:lineRule="auto"/>
        <w:jc w:val="center"/>
        <w:rPr>
          <w:rFonts w:cs="Times New Roman"/>
          <w:b/>
        </w:rPr>
      </w:pPr>
    </w:p>
    <w:p w:rsidR="00F02794" w:rsidRPr="00F40195" w:rsidRDefault="00F02794" w:rsidP="00F74C20">
      <w:pPr>
        <w:spacing w:line="240" w:lineRule="auto"/>
        <w:jc w:val="center"/>
        <w:rPr>
          <w:rFonts w:cs="Times New Roman"/>
        </w:rPr>
      </w:pPr>
      <w:r w:rsidRPr="00F40195">
        <w:rPr>
          <w:rFonts w:cs="Times New Roman"/>
          <w:noProof/>
        </w:rPr>
        <w:drawing>
          <wp:inline distT="0" distB="0" distL="0" distR="0">
            <wp:extent cx="45720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2794" w:rsidRPr="00F40195" w:rsidRDefault="00F02794" w:rsidP="00F74C20">
      <w:pPr>
        <w:spacing w:line="240" w:lineRule="auto"/>
        <w:ind w:left="720" w:firstLine="720"/>
        <w:rPr>
          <w:rFonts w:cs="Times New Roman"/>
          <w:sz w:val="22"/>
        </w:rPr>
      </w:pPr>
      <w:r w:rsidRPr="00F40195">
        <w:rPr>
          <w:rFonts w:cs="Times New Roman"/>
          <w:sz w:val="22"/>
        </w:rPr>
        <w:t xml:space="preserve">Source: National Center for Educational Statistics </w:t>
      </w:r>
    </w:p>
    <w:p w:rsidR="00F02794" w:rsidRPr="00F40195" w:rsidRDefault="00F02794" w:rsidP="00F40195">
      <w:pPr>
        <w:spacing w:line="240" w:lineRule="auto"/>
        <w:rPr>
          <w:rFonts w:cs="Times New Roman"/>
        </w:rPr>
      </w:pPr>
    </w:p>
    <w:p w:rsidR="00F02794" w:rsidRPr="00F40195" w:rsidRDefault="00F02794" w:rsidP="008D674A">
      <w:pPr>
        <w:pStyle w:val="Heading3"/>
      </w:pPr>
      <w:bookmarkStart w:id="76" w:name="_Toc385250731"/>
      <w:bookmarkStart w:id="77" w:name="_Toc395180673"/>
      <w:r w:rsidRPr="00F40195">
        <w:t>Mixed NAEP Results</w:t>
      </w:r>
      <w:bookmarkEnd w:id="76"/>
      <w:bookmarkEnd w:id="77"/>
    </w:p>
    <w:p w:rsidR="00F02794" w:rsidRPr="00F40195" w:rsidRDefault="00F02794" w:rsidP="00F40195">
      <w:pPr>
        <w:spacing w:line="240" w:lineRule="auto"/>
        <w:rPr>
          <w:rFonts w:cs="Times New Roman"/>
        </w:rPr>
      </w:pPr>
    </w:p>
    <w:p w:rsidR="00F02794" w:rsidRPr="00F40195" w:rsidRDefault="00F02794" w:rsidP="00F40195">
      <w:pPr>
        <w:spacing w:line="240" w:lineRule="auto"/>
        <w:rPr>
          <w:rFonts w:cs="Times New Roman"/>
        </w:rPr>
      </w:pPr>
      <w:r w:rsidRPr="00F40195">
        <w:rPr>
          <w:rFonts w:cs="Times New Roman"/>
        </w:rPr>
        <w:t>Kentucky’s 2013 results for the NAEP reading and math exams were mixed. On the positive side the percentage of Kentucky students finishing “at or above proficient” on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reading exams was above the national average. The percentage of Kentucky students who finish at or above proficient on the 4</w:t>
      </w:r>
      <w:r w:rsidRPr="00F40195">
        <w:rPr>
          <w:rFonts w:cs="Times New Roman"/>
          <w:vertAlign w:val="superscript"/>
        </w:rPr>
        <w:t>th</w:t>
      </w:r>
      <w:r w:rsidRPr="00F40195">
        <w:rPr>
          <w:rFonts w:cs="Times New Roman"/>
        </w:rPr>
        <w:t xml:space="preserve"> grade math exam was at the national average but Kentucky’s 8</w:t>
      </w:r>
      <w:r w:rsidRPr="00F40195">
        <w:rPr>
          <w:rFonts w:cs="Times New Roman"/>
          <w:vertAlign w:val="superscript"/>
        </w:rPr>
        <w:t>th</w:t>
      </w:r>
      <w:r w:rsidRPr="00F40195">
        <w:rPr>
          <w:rFonts w:cs="Times New Roman"/>
        </w:rPr>
        <w:t xml:space="preserve"> grade math students finished behind the national average.</w:t>
      </w:r>
    </w:p>
    <w:p w:rsidR="00F02794" w:rsidRPr="00F40195" w:rsidRDefault="00F02794" w:rsidP="00F40195">
      <w:pPr>
        <w:spacing w:line="240" w:lineRule="auto"/>
        <w:rPr>
          <w:rFonts w:cs="Times New Roman"/>
        </w:rPr>
      </w:pPr>
    </w:p>
    <w:tbl>
      <w:tblPr>
        <w:tblStyle w:val="TableGrid"/>
        <w:tblW w:w="7777" w:type="dxa"/>
        <w:tblInd w:w="558" w:type="dxa"/>
        <w:tblLook w:val="04A0" w:firstRow="1" w:lastRow="0" w:firstColumn="1" w:lastColumn="0" w:noHBand="0" w:noVBand="1"/>
      </w:tblPr>
      <w:tblGrid>
        <w:gridCol w:w="2340"/>
        <w:gridCol w:w="1387"/>
        <w:gridCol w:w="1936"/>
        <w:gridCol w:w="2114"/>
      </w:tblGrid>
      <w:tr w:rsidR="00F02794" w:rsidRPr="00F40195" w:rsidTr="002F335C">
        <w:trPr>
          <w:trHeight w:val="432"/>
        </w:trPr>
        <w:tc>
          <w:tcPr>
            <w:tcW w:w="2340" w:type="dxa"/>
            <w:tcBorders>
              <w:bottom w:val="thinThickSmallGap" w:sz="24" w:space="0" w:color="auto"/>
            </w:tcBorders>
          </w:tcPr>
          <w:p w:rsidR="00F02794" w:rsidRPr="00F40195" w:rsidRDefault="00F02794" w:rsidP="00F40195">
            <w:pPr>
              <w:widowControl w:val="0"/>
              <w:autoSpaceDE w:val="0"/>
              <w:autoSpaceDN w:val="0"/>
              <w:adjustRightInd w:val="0"/>
              <w:spacing w:after="240"/>
              <w:contextualSpacing/>
            </w:pPr>
          </w:p>
        </w:tc>
        <w:tc>
          <w:tcPr>
            <w:tcW w:w="1387" w:type="dxa"/>
            <w:tcBorders>
              <w:bottom w:val="thinThickSmallGap" w:sz="24" w:space="0" w:color="auto"/>
              <w:right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At or above</w:t>
            </w:r>
          </w:p>
        </w:tc>
        <w:tc>
          <w:tcPr>
            <w:tcW w:w="1936" w:type="dxa"/>
            <w:tcBorders>
              <w:left w:val="thinThickSmallGap" w:sz="24" w:space="0" w:color="auto"/>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Kentucky</w:t>
            </w:r>
          </w:p>
        </w:tc>
        <w:tc>
          <w:tcPr>
            <w:tcW w:w="2114" w:type="dxa"/>
            <w:tcBorders>
              <w:bottom w:val="thinThickSmallGap" w:sz="24" w:space="0" w:color="auto"/>
            </w:tcBorders>
            <w:vAlign w:val="bottom"/>
          </w:tcPr>
          <w:p w:rsidR="00F02794" w:rsidRPr="00F40195" w:rsidRDefault="00F02794" w:rsidP="00F40195">
            <w:pPr>
              <w:widowControl w:val="0"/>
              <w:autoSpaceDE w:val="0"/>
              <w:autoSpaceDN w:val="0"/>
              <w:adjustRightInd w:val="0"/>
              <w:spacing w:after="240"/>
              <w:contextualSpacing/>
              <w:jc w:val="center"/>
            </w:pPr>
            <w:r w:rsidRPr="00F40195">
              <w:t>National</w:t>
            </w:r>
          </w:p>
        </w:tc>
      </w:tr>
      <w:tr w:rsidR="00F02794" w:rsidRPr="00F40195" w:rsidTr="002F335C">
        <w:trPr>
          <w:trHeight w:val="432"/>
        </w:trPr>
        <w:tc>
          <w:tcPr>
            <w:tcW w:w="2340" w:type="dxa"/>
            <w:vAlign w:val="center"/>
          </w:tcPr>
          <w:p w:rsidR="00F02794" w:rsidRPr="00F40195" w:rsidRDefault="00F02794" w:rsidP="00F40195">
            <w:pPr>
              <w:widowControl w:val="0"/>
              <w:autoSpaceDE w:val="0"/>
              <w:autoSpaceDN w:val="0"/>
              <w:adjustRightInd w:val="0"/>
              <w:spacing w:after="240"/>
              <w:contextualSpacing/>
              <w:jc w:val="center"/>
            </w:pPr>
            <w:r w:rsidRPr="00F40195">
              <w:t>Math 4</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93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41%</w:t>
            </w:r>
          </w:p>
        </w:tc>
        <w:tc>
          <w:tcPr>
            <w:tcW w:w="2114" w:type="dxa"/>
            <w:vAlign w:val="center"/>
          </w:tcPr>
          <w:p w:rsidR="00F02794" w:rsidRPr="00F40195" w:rsidRDefault="00F02794" w:rsidP="00F40195">
            <w:pPr>
              <w:widowControl w:val="0"/>
              <w:autoSpaceDE w:val="0"/>
              <w:autoSpaceDN w:val="0"/>
              <w:adjustRightInd w:val="0"/>
              <w:spacing w:after="240"/>
              <w:contextualSpacing/>
              <w:jc w:val="center"/>
            </w:pPr>
            <w:r w:rsidRPr="00F40195">
              <w:t>41%</w:t>
            </w:r>
          </w:p>
        </w:tc>
      </w:tr>
      <w:tr w:rsidR="00F02794" w:rsidRPr="00F40195" w:rsidTr="002F335C">
        <w:trPr>
          <w:trHeight w:val="432"/>
        </w:trPr>
        <w:tc>
          <w:tcPr>
            <w:tcW w:w="2340" w:type="dxa"/>
            <w:vAlign w:val="center"/>
          </w:tcPr>
          <w:p w:rsidR="00F02794" w:rsidRPr="00F40195" w:rsidRDefault="00F02794" w:rsidP="00F40195">
            <w:pPr>
              <w:widowControl w:val="0"/>
              <w:autoSpaceDE w:val="0"/>
              <w:autoSpaceDN w:val="0"/>
              <w:adjustRightInd w:val="0"/>
              <w:spacing w:after="240"/>
              <w:contextualSpacing/>
              <w:jc w:val="center"/>
            </w:pPr>
            <w:r w:rsidRPr="00F40195">
              <w:t>Math 8</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93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30%</w:t>
            </w:r>
          </w:p>
        </w:tc>
        <w:tc>
          <w:tcPr>
            <w:tcW w:w="2114" w:type="dxa"/>
            <w:shd w:val="clear" w:color="auto" w:fill="CCFFCC"/>
            <w:vAlign w:val="center"/>
          </w:tcPr>
          <w:p w:rsidR="00F02794" w:rsidRPr="00F40195" w:rsidRDefault="00F02794" w:rsidP="00F40195">
            <w:pPr>
              <w:widowControl w:val="0"/>
              <w:autoSpaceDE w:val="0"/>
              <w:autoSpaceDN w:val="0"/>
              <w:adjustRightInd w:val="0"/>
              <w:spacing w:after="240"/>
              <w:contextualSpacing/>
              <w:jc w:val="center"/>
            </w:pPr>
            <w:r w:rsidRPr="00F40195">
              <w:t>34%</w:t>
            </w:r>
          </w:p>
        </w:tc>
      </w:tr>
      <w:tr w:rsidR="00F02794" w:rsidRPr="00F40195" w:rsidTr="002F335C">
        <w:trPr>
          <w:trHeight w:val="432"/>
        </w:trPr>
        <w:tc>
          <w:tcPr>
            <w:tcW w:w="2340" w:type="dxa"/>
            <w:vAlign w:val="center"/>
          </w:tcPr>
          <w:p w:rsidR="00F02794" w:rsidRPr="00F40195" w:rsidRDefault="00F02794" w:rsidP="00F40195">
            <w:pPr>
              <w:widowControl w:val="0"/>
              <w:autoSpaceDE w:val="0"/>
              <w:autoSpaceDN w:val="0"/>
              <w:adjustRightInd w:val="0"/>
              <w:spacing w:after="240"/>
              <w:contextualSpacing/>
              <w:jc w:val="center"/>
            </w:pPr>
            <w:r w:rsidRPr="00F40195">
              <w:t>Reading 4</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93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36%</w:t>
            </w:r>
          </w:p>
        </w:tc>
        <w:tc>
          <w:tcPr>
            <w:tcW w:w="2114" w:type="dxa"/>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34%</w:t>
            </w:r>
          </w:p>
        </w:tc>
      </w:tr>
      <w:tr w:rsidR="00F02794" w:rsidRPr="00F40195" w:rsidTr="002F335C">
        <w:trPr>
          <w:trHeight w:val="432"/>
        </w:trPr>
        <w:tc>
          <w:tcPr>
            <w:tcW w:w="2340" w:type="dxa"/>
            <w:vAlign w:val="center"/>
          </w:tcPr>
          <w:p w:rsidR="00F02794" w:rsidRPr="00F40195" w:rsidRDefault="00F02794" w:rsidP="00F40195">
            <w:pPr>
              <w:widowControl w:val="0"/>
              <w:autoSpaceDE w:val="0"/>
              <w:autoSpaceDN w:val="0"/>
              <w:adjustRightInd w:val="0"/>
              <w:spacing w:after="240"/>
              <w:contextualSpacing/>
              <w:jc w:val="center"/>
            </w:pPr>
            <w:r w:rsidRPr="00F40195">
              <w:t>Reading 8</w:t>
            </w:r>
            <w:r w:rsidRPr="00F40195">
              <w:rPr>
                <w:vertAlign w:val="superscript"/>
              </w:rPr>
              <w:t>th</w:t>
            </w:r>
            <w:r w:rsidRPr="00F40195">
              <w:t xml:space="preserve"> grade</w:t>
            </w:r>
          </w:p>
        </w:tc>
        <w:tc>
          <w:tcPr>
            <w:tcW w:w="1387" w:type="dxa"/>
            <w:tcBorders>
              <w:righ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Proficient</w:t>
            </w:r>
          </w:p>
        </w:tc>
        <w:tc>
          <w:tcPr>
            <w:tcW w:w="1936" w:type="dxa"/>
            <w:tcBorders>
              <w:left w:val="thinThickSmallGap" w:sz="24" w:space="0" w:color="auto"/>
            </w:tcBorders>
            <w:vAlign w:val="center"/>
          </w:tcPr>
          <w:p w:rsidR="00F02794" w:rsidRPr="00F40195" w:rsidRDefault="00F02794" w:rsidP="00F40195">
            <w:pPr>
              <w:widowControl w:val="0"/>
              <w:autoSpaceDE w:val="0"/>
              <w:autoSpaceDN w:val="0"/>
              <w:adjustRightInd w:val="0"/>
              <w:spacing w:after="240"/>
              <w:contextualSpacing/>
              <w:jc w:val="center"/>
            </w:pPr>
            <w:r w:rsidRPr="00F40195">
              <w:t>38%</w:t>
            </w:r>
          </w:p>
        </w:tc>
        <w:tc>
          <w:tcPr>
            <w:tcW w:w="2114" w:type="dxa"/>
            <w:shd w:val="clear" w:color="auto" w:fill="FABF8F" w:themeFill="accent6" w:themeFillTint="99"/>
            <w:vAlign w:val="center"/>
          </w:tcPr>
          <w:p w:rsidR="00F02794" w:rsidRPr="00F40195" w:rsidRDefault="00F02794" w:rsidP="00F40195">
            <w:pPr>
              <w:widowControl w:val="0"/>
              <w:autoSpaceDE w:val="0"/>
              <w:autoSpaceDN w:val="0"/>
              <w:adjustRightInd w:val="0"/>
              <w:spacing w:after="240"/>
              <w:contextualSpacing/>
              <w:jc w:val="center"/>
            </w:pPr>
            <w:r w:rsidRPr="00F40195">
              <w:t>34%</w:t>
            </w:r>
          </w:p>
        </w:tc>
      </w:tr>
    </w:tbl>
    <w:p w:rsidR="00F02794" w:rsidRPr="00F40195" w:rsidRDefault="00F02794" w:rsidP="00F40195">
      <w:pPr>
        <w:spacing w:line="240" w:lineRule="auto"/>
        <w:rPr>
          <w:rFonts w:cs="Times New Roman"/>
        </w:rPr>
      </w:pPr>
    </w:p>
    <w:p w:rsidR="00F02794" w:rsidRPr="00F40195" w:rsidRDefault="00F02794" w:rsidP="00F40195">
      <w:pPr>
        <w:spacing w:line="240" w:lineRule="auto"/>
        <w:rPr>
          <w:rFonts w:cs="Times New Roman"/>
        </w:rPr>
      </w:pPr>
      <w:r w:rsidRPr="00F40195">
        <w:rPr>
          <w:rFonts w:cs="Times New Roman"/>
        </w:rPr>
        <w:t>The mixed educational outcome data shows that there are some bright spots for Kentucky’s education system but there are also areas that need improvement.</w:t>
      </w:r>
      <w:r w:rsidR="006B40BF">
        <w:rPr>
          <w:rFonts w:cs="Times New Roman"/>
        </w:rPr>
        <w:t xml:space="preserve">  </w:t>
      </w:r>
    </w:p>
    <w:p w:rsidR="000626AC" w:rsidRDefault="000626AC" w:rsidP="00F40195">
      <w:pPr>
        <w:spacing w:line="240" w:lineRule="auto"/>
        <w:rPr>
          <w:rFonts w:cs="Times New Roman"/>
        </w:rPr>
      </w:pPr>
    </w:p>
    <w:p w:rsidR="003D442F" w:rsidRDefault="003D442F" w:rsidP="003D442F">
      <w:pPr>
        <w:pStyle w:val="Heading2"/>
        <w:spacing w:before="0" w:after="0"/>
      </w:pPr>
      <w:bookmarkStart w:id="78" w:name="_Toc385250727"/>
      <w:bookmarkStart w:id="79" w:name="_Toc395180674"/>
    </w:p>
    <w:p w:rsidR="00FC34BA" w:rsidRPr="00F40195" w:rsidRDefault="00FC34BA" w:rsidP="003D442F">
      <w:pPr>
        <w:pStyle w:val="Heading2"/>
        <w:spacing w:before="0" w:after="0"/>
      </w:pPr>
      <w:r w:rsidRPr="00F40195">
        <w:t>Conclusion</w:t>
      </w:r>
      <w:bookmarkEnd w:id="78"/>
      <w:bookmarkEnd w:id="79"/>
      <w:r w:rsidRPr="00F40195">
        <w:t xml:space="preserve"> </w:t>
      </w:r>
    </w:p>
    <w:p w:rsidR="00FC34BA" w:rsidRPr="00F40195" w:rsidRDefault="00FC34BA" w:rsidP="003D442F">
      <w:pPr>
        <w:spacing w:line="240" w:lineRule="auto"/>
        <w:rPr>
          <w:rFonts w:cs="Times New Roman"/>
        </w:rPr>
      </w:pPr>
    </w:p>
    <w:p w:rsidR="00FC34BA" w:rsidRPr="00F40195" w:rsidRDefault="00FC34BA" w:rsidP="003D442F">
      <w:pPr>
        <w:spacing w:line="240" w:lineRule="auto"/>
        <w:rPr>
          <w:rFonts w:cs="Times New Roman"/>
        </w:rPr>
      </w:pPr>
      <w:r w:rsidRPr="00F40195">
        <w:rPr>
          <w:rFonts w:cs="Times New Roman"/>
        </w:rPr>
        <w:t xml:space="preserve">This section of the study reviewed national data to determine how Kentucky’s public K-12 education system compares to other states. There was a specific focus on the seven states whose education systems are the most comparable to Kentucky (Alabama, Arkansas, Indiana, Missouri, Ohio, Tennessee and West Virginia). This study looked at state level information about educational outcomes, public school expenditures, student demographics, state budgets and teacher staffing. After reviewing all of the relevant data three findings stand out. Over the past decade the Kentucky education system has experienced: </w:t>
      </w:r>
    </w:p>
    <w:p w:rsidR="00FC34BA" w:rsidRPr="00F40195" w:rsidRDefault="00FC34BA" w:rsidP="00FC34BA">
      <w:pPr>
        <w:spacing w:line="240" w:lineRule="auto"/>
        <w:rPr>
          <w:rFonts w:cs="Times New Roman"/>
        </w:rPr>
      </w:pPr>
    </w:p>
    <w:p w:rsidR="00FC34BA" w:rsidRDefault="00FC34BA" w:rsidP="00FC34BA">
      <w:pPr>
        <w:pStyle w:val="ListParagraph"/>
        <w:numPr>
          <w:ilvl w:val="0"/>
          <w:numId w:val="28"/>
        </w:numPr>
        <w:spacing w:line="240" w:lineRule="auto"/>
        <w:rPr>
          <w:rFonts w:cs="Times New Roman"/>
        </w:rPr>
      </w:pPr>
      <w:r w:rsidRPr="00F40195">
        <w:rPr>
          <w:rFonts w:cs="Times New Roman"/>
          <w:u w:val="single"/>
        </w:rPr>
        <w:t>Below Average Funding</w:t>
      </w:r>
      <w:r w:rsidRPr="00F40195">
        <w:rPr>
          <w:rFonts w:cs="Times New Roman"/>
        </w:rPr>
        <w:t>: Over the past decade Kentucky has consistently funded its schools below national averages</w:t>
      </w:r>
      <w:r>
        <w:rPr>
          <w:rFonts w:cs="Times New Roman"/>
        </w:rPr>
        <w:t>,</w:t>
      </w:r>
      <w:r w:rsidRPr="00F40195">
        <w:rPr>
          <w:rFonts w:cs="Times New Roman"/>
        </w:rPr>
        <w:t xml:space="preserve"> but funding levels have shown mixed results against comparable states.</w:t>
      </w:r>
      <w:r>
        <w:rPr>
          <w:rFonts w:cs="Times New Roman"/>
        </w:rPr>
        <w:t xml:space="preserve"> </w:t>
      </w:r>
    </w:p>
    <w:p w:rsidR="00FC34BA" w:rsidRDefault="00FC34BA" w:rsidP="003D442F">
      <w:pPr>
        <w:pStyle w:val="ListParagraph"/>
        <w:numPr>
          <w:ilvl w:val="0"/>
          <w:numId w:val="28"/>
        </w:numPr>
        <w:spacing w:line="240" w:lineRule="auto"/>
        <w:rPr>
          <w:rFonts w:cs="Times New Roman"/>
        </w:rPr>
      </w:pPr>
      <w:r w:rsidRPr="00F40195">
        <w:rPr>
          <w:rFonts w:cs="Times New Roman"/>
          <w:u w:val="single"/>
        </w:rPr>
        <w:t>Below Average Teacher Salaries</w:t>
      </w:r>
      <w:r w:rsidRPr="00F40195">
        <w:rPr>
          <w:rFonts w:cs="Times New Roman"/>
        </w:rPr>
        <w:t>: Kentucky’s teacher salaries have consistently been below national averages over the past decade.</w:t>
      </w:r>
      <w:r>
        <w:rPr>
          <w:rFonts w:cs="Times New Roman"/>
          <w:u w:val="single"/>
        </w:rPr>
        <w:t xml:space="preserve"> </w:t>
      </w:r>
    </w:p>
    <w:p w:rsidR="00FC34BA" w:rsidRPr="00FC34BA" w:rsidRDefault="00FC34BA" w:rsidP="00FC34BA">
      <w:pPr>
        <w:pStyle w:val="ListParagraph"/>
        <w:numPr>
          <w:ilvl w:val="0"/>
          <w:numId w:val="28"/>
        </w:numPr>
        <w:spacing w:line="240" w:lineRule="auto"/>
        <w:rPr>
          <w:rFonts w:cs="Times New Roman"/>
          <w:u w:val="single"/>
        </w:rPr>
      </w:pPr>
      <w:r w:rsidRPr="00FC34BA">
        <w:rPr>
          <w:rFonts w:cs="Times New Roman"/>
          <w:u w:val="single"/>
        </w:rPr>
        <w:t>Above average student performance</w:t>
      </w:r>
      <w:r>
        <w:rPr>
          <w:rFonts w:cs="Times New Roman"/>
          <w:u w:val="single"/>
        </w:rPr>
        <w:t xml:space="preserve">:  </w:t>
      </w:r>
      <w:r w:rsidRPr="00FC34BA">
        <w:rPr>
          <w:rFonts w:cs="Times New Roman"/>
        </w:rPr>
        <w:t>Kentucky’s educational outcomes have generally been positive when compared to both national averages and comparable state but there are some instances where the state’s outcomes trail both the national average and comparative states.</w:t>
      </w:r>
    </w:p>
    <w:p w:rsidR="003D442F" w:rsidRDefault="003D442F">
      <w:pPr>
        <w:rPr>
          <w:rFonts w:cs="Times New Roman"/>
        </w:rPr>
      </w:pPr>
      <w:r>
        <w:rPr>
          <w:rFonts w:cs="Times New Roman"/>
        </w:rPr>
        <w:br w:type="page"/>
      </w:r>
    </w:p>
    <w:p w:rsidR="00FC34BA" w:rsidRPr="00F40195" w:rsidRDefault="00FC34BA" w:rsidP="00F40195">
      <w:pPr>
        <w:spacing w:line="240" w:lineRule="auto"/>
        <w:rPr>
          <w:rFonts w:cs="Times New Roman"/>
        </w:rPr>
      </w:pPr>
    </w:p>
    <w:p w:rsidR="00073A48" w:rsidRPr="00F40195" w:rsidRDefault="008B520E" w:rsidP="007162A8">
      <w:pPr>
        <w:pStyle w:val="Heading1"/>
      </w:pPr>
      <w:bookmarkStart w:id="80" w:name="_Toc395180675"/>
      <w:bookmarkEnd w:id="11"/>
      <w:r w:rsidRPr="00F40195">
        <w:t xml:space="preserve">Chapter </w:t>
      </w:r>
      <w:r w:rsidR="00C91584">
        <w:t>3</w:t>
      </w:r>
      <w:r w:rsidR="001F1F30" w:rsidRPr="00F40195">
        <w:t xml:space="preserve">: </w:t>
      </w:r>
      <w:r w:rsidR="002A203A" w:rsidRPr="00F40195">
        <w:t>an Evidence-Based Adequacy Model</w:t>
      </w:r>
      <w:bookmarkEnd w:id="80"/>
    </w:p>
    <w:p w:rsidR="00677F6B" w:rsidRPr="00F40195" w:rsidRDefault="006B6B73" w:rsidP="00F40195">
      <w:pPr>
        <w:spacing w:line="240" w:lineRule="auto"/>
        <w:rPr>
          <w:rFonts w:cs="Times New Roman"/>
        </w:rPr>
      </w:pPr>
      <w:r w:rsidRPr="00F40195">
        <w:rPr>
          <w:rFonts w:cs="Times New Roman"/>
        </w:rPr>
        <w:t xml:space="preserve">The </w:t>
      </w:r>
      <w:r w:rsidR="00B0771A" w:rsidRPr="00F40195">
        <w:rPr>
          <w:rFonts w:cs="Times New Roman"/>
        </w:rPr>
        <w:t>Evidence-Based (</w:t>
      </w:r>
      <w:r w:rsidRPr="00F40195">
        <w:rPr>
          <w:rFonts w:cs="Times New Roman"/>
        </w:rPr>
        <w:t>EB</w:t>
      </w:r>
      <w:r w:rsidR="00B0771A" w:rsidRPr="00F40195">
        <w:rPr>
          <w:rFonts w:cs="Times New Roman"/>
        </w:rPr>
        <w:t>)</w:t>
      </w:r>
      <w:r w:rsidRPr="00F40195">
        <w:rPr>
          <w:rFonts w:cs="Times New Roman"/>
        </w:rPr>
        <w:t xml:space="preserve"> approach identifies a cohesive set of school-level resources, or elements, required to deliver a comprehensive and high-quality instructional program and describes the evidence on </w:t>
      </w:r>
      <w:r w:rsidR="00D776E4" w:rsidRPr="00F40195">
        <w:rPr>
          <w:rFonts w:cs="Times New Roman"/>
        </w:rPr>
        <w:t xml:space="preserve">programmatic </w:t>
      </w:r>
      <w:r w:rsidR="000021C7" w:rsidRPr="00F40195">
        <w:rPr>
          <w:rFonts w:cs="Times New Roman"/>
        </w:rPr>
        <w:t xml:space="preserve">effectiveness. </w:t>
      </w:r>
      <w:r w:rsidRPr="00F40195">
        <w:rPr>
          <w:rFonts w:cs="Times New Roman"/>
        </w:rPr>
        <w:t>This approach then estimates an adequate expenditure level by placing a price on each element according to the needs of prototypical elementary, middle and high schools</w:t>
      </w:r>
      <w:r w:rsidR="000021C7" w:rsidRPr="00F40195">
        <w:rPr>
          <w:rFonts w:cs="Times New Roman"/>
        </w:rPr>
        <w:t>. School resources are aggregated to the district level, at which point</w:t>
      </w:r>
      <w:r w:rsidRPr="00F40195">
        <w:rPr>
          <w:rFonts w:cs="Times New Roman"/>
        </w:rPr>
        <w:t xml:space="preserve"> central office staff</w:t>
      </w:r>
      <w:r w:rsidR="00B0771A" w:rsidRPr="00F40195">
        <w:rPr>
          <w:rFonts w:cs="Times New Roman"/>
        </w:rPr>
        <w:t xml:space="preserve"> and</w:t>
      </w:r>
      <w:r w:rsidRPr="00F40195">
        <w:rPr>
          <w:rFonts w:cs="Times New Roman"/>
        </w:rPr>
        <w:t xml:space="preserve"> maintenance and operations</w:t>
      </w:r>
      <w:r w:rsidR="000021C7" w:rsidRPr="00F40195">
        <w:rPr>
          <w:rFonts w:cs="Times New Roman"/>
        </w:rPr>
        <w:t xml:space="preserve"> resources are added, along with other costs that are not modeled in the Evidence-Based Approach (e.g.</w:t>
      </w:r>
      <w:r w:rsidR="00644E2E" w:rsidRPr="00F40195">
        <w:rPr>
          <w:rFonts w:cs="Times New Roman"/>
        </w:rPr>
        <w:t>,</w:t>
      </w:r>
      <w:r w:rsidR="000021C7" w:rsidRPr="00F40195">
        <w:rPr>
          <w:rFonts w:cs="Times New Roman"/>
        </w:rPr>
        <w:t xml:space="preserve"> transportation and debt service). </w:t>
      </w:r>
      <w:r w:rsidRPr="00F40195">
        <w:rPr>
          <w:rFonts w:cs="Times New Roman"/>
        </w:rPr>
        <w:t>The final step involves aggregating the cost of all school- and district-level elements to a total statewide cost</w:t>
      </w:r>
      <w:r w:rsidR="000021C7" w:rsidRPr="00F40195">
        <w:rPr>
          <w:rFonts w:cs="Times New Roman"/>
        </w:rPr>
        <w:t xml:space="preserve"> and to compare this with cost with the 2012-13 SEEK expenditures</w:t>
      </w:r>
      <w:r w:rsidR="009739FE" w:rsidRPr="00F40195">
        <w:rPr>
          <w:rFonts w:cs="Times New Roman"/>
        </w:rPr>
        <w:t xml:space="preserve">. </w:t>
      </w:r>
    </w:p>
    <w:p w:rsidR="00677F6B" w:rsidRPr="00F40195" w:rsidRDefault="00677F6B" w:rsidP="00F40195">
      <w:pPr>
        <w:spacing w:line="240" w:lineRule="auto"/>
        <w:rPr>
          <w:rFonts w:cs="Times New Roman"/>
        </w:rPr>
      </w:pPr>
    </w:p>
    <w:p w:rsidR="00677F6B" w:rsidRPr="00F40195" w:rsidRDefault="006B6B73" w:rsidP="00F40195">
      <w:pPr>
        <w:spacing w:line="240" w:lineRule="auto"/>
        <w:rPr>
          <w:rFonts w:cs="Times New Roman"/>
        </w:rPr>
      </w:pPr>
      <w:r w:rsidRPr="00F40195">
        <w:rPr>
          <w:rFonts w:cs="Times New Roman"/>
        </w:rPr>
        <w:t xml:space="preserve">The EB approach is based on a review of the research evidence, originating from three primary </w:t>
      </w:r>
      <w:r w:rsidR="000522CF" w:rsidRPr="00F40195">
        <w:rPr>
          <w:rFonts w:cs="Times New Roman"/>
        </w:rPr>
        <w:t>source types</w:t>
      </w:r>
      <w:r w:rsidRPr="00F40195">
        <w:rPr>
          <w:rFonts w:cs="Times New Roman"/>
        </w:rPr>
        <w:t>:</w:t>
      </w:r>
      <w:bookmarkStart w:id="81" w:name="OLE_LINK1"/>
    </w:p>
    <w:p w:rsidR="006B6B73" w:rsidRPr="00F40195" w:rsidRDefault="006B6B73" w:rsidP="00465D68">
      <w:pPr>
        <w:pStyle w:val="ListParagraph"/>
        <w:numPr>
          <w:ilvl w:val="0"/>
          <w:numId w:val="56"/>
        </w:numPr>
        <w:spacing w:line="240" w:lineRule="auto"/>
        <w:rPr>
          <w:rFonts w:cs="Times New Roman"/>
        </w:rPr>
      </w:pPr>
      <w:r w:rsidRPr="00F40195">
        <w:rPr>
          <w:rFonts w:cs="Times New Roman"/>
        </w:rPr>
        <w:t>Research with randomized assignment to the treatment (the “gold standard” of evidence)</w:t>
      </w:r>
    </w:p>
    <w:p w:rsidR="006B6B73" w:rsidRPr="00F40195" w:rsidRDefault="006B6B73" w:rsidP="00465D68">
      <w:pPr>
        <w:pStyle w:val="Normaldble"/>
        <w:numPr>
          <w:ilvl w:val="0"/>
          <w:numId w:val="56"/>
        </w:numPr>
        <w:spacing w:line="240" w:lineRule="auto"/>
      </w:pPr>
      <w:r w:rsidRPr="00F40195">
        <w:t xml:space="preserve">Research with other types of controls or statistical procedures that can help separate the impact of a treatment, including </w:t>
      </w:r>
      <w:r w:rsidR="000A2E6E" w:rsidRPr="00F40195">
        <w:t xml:space="preserve">such methods as </w:t>
      </w:r>
      <w:r w:rsidRPr="00F40195">
        <w:t xml:space="preserve">meta-analyses </w:t>
      </w:r>
      <w:r w:rsidR="000A2E6E" w:rsidRPr="00F40195">
        <w:t>and longitudinal studies</w:t>
      </w:r>
    </w:p>
    <w:p w:rsidR="006B6B73" w:rsidRPr="00F40195" w:rsidRDefault="006B6B73" w:rsidP="00465D68">
      <w:pPr>
        <w:pStyle w:val="Normaldble"/>
        <w:numPr>
          <w:ilvl w:val="0"/>
          <w:numId w:val="56"/>
        </w:numPr>
        <w:spacing w:line="240" w:lineRule="auto"/>
      </w:pPr>
      <w:r w:rsidRPr="00F40195">
        <w:t xml:space="preserve">Best practices either as codified in a comprehensive school design (e.g., Stringfield, Ross &amp; Smith, 1996) or from studies of schools that have dramatically improved student learning (e.g., Blankstein, 2010, 2011; Chenoweth, 2007; 2011; Odden, 2009; </w:t>
      </w:r>
      <w:r w:rsidR="00753196">
        <w:t>O</w:t>
      </w:r>
      <w:r w:rsidRPr="00F40195">
        <w:t>dden &amp; Archibald, 2009)</w:t>
      </w:r>
      <w:r w:rsidR="000A2E6E" w:rsidRPr="00F40195">
        <w:t>.</w:t>
      </w:r>
    </w:p>
    <w:bookmarkEnd w:id="81"/>
    <w:p w:rsidR="006B6B73" w:rsidRPr="00F40195" w:rsidRDefault="006B6B73" w:rsidP="00F40195">
      <w:pPr>
        <w:pStyle w:val="Normaldble"/>
        <w:spacing w:line="240" w:lineRule="auto"/>
        <w:ind w:firstLine="0"/>
      </w:pPr>
    </w:p>
    <w:p w:rsidR="00911F10" w:rsidRPr="00F40195" w:rsidRDefault="00304E24" w:rsidP="00F40195">
      <w:pPr>
        <w:pStyle w:val="Normaldble"/>
        <w:spacing w:line="240" w:lineRule="auto"/>
        <w:ind w:firstLine="0"/>
      </w:pPr>
      <w:r w:rsidRPr="00F40195">
        <w:t xml:space="preserve">The tables that follow </w:t>
      </w:r>
      <w:r w:rsidR="00D776E4" w:rsidRPr="00F40195">
        <w:t>explain</w:t>
      </w:r>
      <w:r w:rsidRPr="00F40195">
        <w:t xml:space="preserve"> how school level </w:t>
      </w:r>
      <w:r w:rsidR="00644E2E" w:rsidRPr="00F40195">
        <w:t>resources</w:t>
      </w:r>
      <w:r w:rsidRPr="00F40195">
        <w:t xml:space="preserve"> are distributed, </w:t>
      </w:r>
      <w:r w:rsidR="00D776E4" w:rsidRPr="00F40195">
        <w:t xml:space="preserve">and present </w:t>
      </w:r>
      <w:r w:rsidRPr="00F40195">
        <w:t xml:space="preserve">alterations in resources for small schools, as well as the models used for district-level </w:t>
      </w:r>
      <w:r w:rsidR="00911F10" w:rsidRPr="00F40195">
        <w:t xml:space="preserve">resource needs. </w:t>
      </w:r>
    </w:p>
    <w:p w:rsidR="00247291" w:rsidRPr="00F40195" w:rsidRDefault="00247291" w:rsidP="00F40195">
      <w:pPr>
        <w:spacing w:line="240" w:lineRule="auto"/>
        <w:jc w:val="center"/>
        <w:rPr>
          <w:rFonts w:cs="Times New Roman"/>
        </w:rPr>
      </w:pPr>
    </w:p>
    <w:p w:rsidR="00911F10" w:rsidRPr="00F40195" w:rsidRDefault="006B6B73" w:rsidP="00F40195">
      <w:pPr>
        <w:pStyle w:val="ListParagraph"/>
        <w:numPr>
          <w:ilvl w:val="0"/>
          <w:numId w:val="27"/>
        </w:numPr>
        <w:spacing w:line="240" w:lineRule="auto"/>
        <w:rPr>
          <w:rFonts w:cs="Times New Roman"/>
          <w:b/>
        </w:rPr>
      </w:pPr>
      <w:r w:rsidRPr="00F40195">
        <w:rPr>
          <w:rFonts w:cs="Times New Roman"/>
          <w:b/>
        </w:rPr>
        <w:t xml:space="preserve">Table </w:t>
      </w:r>
      <w:r w:rsidR="00911F10" w:rsidRPr="00F40195">
        <w:rPr>
          <w:rFonts w:cs="Times New Roman"/>
          <w:b/>
        </w:rPr>
        <w:t>4.1</w:t>
      </w:r>
      <w:r w:rsidRPr="00F40195">
        <w:rPr>
          <w:rFonts w:cs="Times New Roman"/>
        </w:rPr>
        <w:t xml:space="preserve"> </w:t>
      </w:r>
      <w:r w:rsidR="00247291" w:rsidRPr="00F40195">
        <w:rPr>
          <w:rFonts w:cs="Times New Roman"/>
          <w:b/>
        </w:rPr>
        <w:t xml:space="preserve">Kentucky </w:t>
      </w:r>
      <w:r w:rsidR="007619E2" w:rsidRPr="00F40195">
        <w:rPr>
          <w:rFonts w:cs="Times New Roman"/>
          <w:b/>
        </w:rPr>
        <w:t>Prototypical</w:t>
      </w:r>
      <w:r w:rsidR="00247291" w:rsidRPr="00F40195">
        <w:rPr>
          <w:rFonts w:cs="Times New Roman"/>
          <w:b/>
        </w:rPr>
        <w:t xml:space="preserve"> Elementary, Middle and High School Models </w:t>
      </w:r>
      <w:r w:rsidRPr="00F40195">
        <w:rPr>
          <w:rFonts w:cs="Times New Roman"/>
        </w:rPr>
        <w:t xml:space="preserve">provides a summary of </w:t>
      </w:r>
      <w:r w:rsidR="00B0771A" w:rsidRPr="00F40195">
        <w:rPr>
          <w:rFonts w:cs="Times New Roman"/>
        </w:rPr>
        <w:t>various school-level components of the EB approach, identified within three prototypical schools—</w:t>
      </w:r>
      <w:r w:rsidR="001206CA" w:rsidRPr="00F40195">
        <w:rPr>
          <w:rFonts w:cs="Times New Roman"/>
        </w:rPr>
        <w:t>elementary, middle, and high</w:t>
      </w:r>
      <w:r w:rsidR="00911F10" w:rsidRPr="00F40195">
        <w:rPr>
          <w:rFonts w:cs="Times New Roman"/>
        </w:rPr>
        <w:t>.</w:t>
      </w:r>
      <w:r w:rsidR="00644E2E" w:rsidRPr="00F40195">
        <w:rPr>
          <w:rFonts w:cs="Times New Roman"/>
        </w:rPr>
        <w:t xml:space="preserve"> </w:t>
      </w:r>
    </w:p>
    <w:p w:rsidR="003D3CB8" w:rsidRPr="00F40195" w:rsidRDefault="00911F10" w:rsidP="00F40195">
      <w:pPr>
        <w:pStyle w:val="Normaldble"/>
        <w:numPr>
          <w:ilvl w:val="0"/>
          <w:numId w:val="26"/>
        </w:numPr>
        <w:spacing w:line="240" w:lineRule="auto"/>
      </w:pPr>
      <w:r w:rsidRPr="00F40195">
        <w:rPr>
          <w:b/>
        </w:rPr>
        <w:t>Table 4.2</w:t>
      </w:r>
      <w:r w:rsidR="00247291" w:rsidRPr="00F40195">
        <w:rPr>
          <w:b/>
        </w:rPr>
        <w:t xml:space="preserve"> EB School Staffing and </w:t>
      </w:r>
      <w:r w:rsidR="0024093A" w:rsidRPr="00F40195">
        <w:rPr>
          <w:b/>
        </w:rPr>
        <w:t xml:space="preserve">Resource Models for K-12 </w:t>
      </w:r>
      <w:r w:rsidR="00D776E4" w:rsidRPr="00F40195">
        <w:rPr>
          <w:b/>
        </w:rPr>
        <w:t>E</w:t>
      </w:r>
      <w:r w:rsidR="00AC576B">
        <w:rPr>
          <w:b/>
        </w:rPr>
        <w:t>nglish Learners</w:t>
      </w:r>
      <w:r w:rsidR="0024093A" w:rsidRPr="00F40195">
        <w:rPr>
          <w:b/>
        </w:rPr>
        <w:t>, Low Income</w:t>
      </w:r>
      <w:r w:rsidR="00AC576B">
        <w:rPr>
          <w:b/>
        </w:rPr>
        <w:t xml:space="preserve"> students</w:t>
      </w:r>
      <w:r w:rsidR="00247291" w:rsidRPr="00F40195">
        <w:rPr>
          <w:b/>
        </w:rPr>
        <w:t>, Special Education and Career and Technical Education (CTE) Programs</w:t>
      </w:r>
      <w:r w:rsidR="00247291" w:rsidRPr="00F40195">
        <w:t xml:space="preserve"> provides a summary of the resources available for students who need additional resources to achieve proficiency.</w:t>
      </w:r>
    </w:p>
    <w:p w:rsidR="00032949" w:rsidRPr="00F40195" w:rsidRDefault="003D3CB8" w:rsidP="00F40195">
      <w:pPr>
        <w:pStyle w:val="Normaldble"/>
        <w:numPr>
          <w:ilvl w:val="0"/>
          <w:numId w:val="26"/>
        </w:numPr>
        <w:spacing w:line="240" w:lineRule="auto"/>
      </w:pPr>
      <w:r w:rsidRPr="00F40195">
        <w:rPr>
          <w:b/>
          <w:bCs/>
        </w:rPr>
        <w:t xml:space="preserve">Table </w:t>
      </w:r>
      <w:r w:rsidR="00D73E7C">
        <w:rPr>
          <w:b/>
          <w:bCs/>
        </w:rPr>
        <w:t>4.3: EB Model Resources for P</w:t>
      </w:r>
      <w:r w:rsidRPr="00F40195">
        <w:rPr>
          <w:b/>
          <w:bCs/>
        </w:rPr>
        <w:t xml:space="preserve">K Programs </w:t>
      </w:r>
      <w:r w:rsidRPr="00F40195">
        <w:rPr>
          <w:bCs/>
        </w:rPr>
        <w:t>provides a summary of the re</w:t>
      </w:r>
      <w:r w:rsidR="00D73E7C">
        <w:rPr>
          <w:bCs/>
        </w:rPr>
        <w:t xml:space="preserve">sources for a prototypical </w:t>
      </w:r>
      <w:r w:rsidR="00AC576B">
        <w:rPr>
          <w:bCs/>
        </w:rPr>
        <w:t>pre-kindergarten</w:t>
      </w:r>
      <w:r w:rsidRPr="00F40195">
        <w:rPr>
          <w:bCs/>
        </w:rPr>
        <w:t xml:space="preserve"> program.</w:t>
      </w:r>
    </w:p>
    <w:p w:rsidR="00A671D9" w:rsidRPr="00C903BA" w:rsidRDefault="00A671D9" w:rsidP="00F40195">
      <w:pPr>
        <w:pStyle w:val="Normaldble"/>
        <w:numPr>
          <w:ilvl w:val="0"/>
          <w:numId w:val="26"/>
        </w:numPr>
        <w:spacing w:line="240" w:lineRule="auto"/>
      </w:pPr>
      <w:r w:rsidRPr="00F40195">
        <w:rPr>
          <w:b/>
          <w:bCs/>
        </w:rPr>
        <w:t>Table 4.</w:t>
      </w:r>
      <w:r w:rsidR="00860681">
        <w:rPr>
          <w:b/>
          <w:bCs/>
        </w:rPr>
        <w:t>4</w:t>
      </w:r>
      <w:r w:rsidRPr="00F40195">
        <w:rPr>
          <w:b/>
          <w:bCs/>
        </w:rPr>
        <w:t xml:space="preserve">: EB Model for Small Districts </w:t>
      </w:r>
      <w:r w:rsidRPr="00F40195">
        <w:rPr>
          <w:bCs/>
        </w:rPr>
        <w:t>provides staffing levels for districts that are smaller than a typical linear path allows for providing sufficient staff and resources to provide an adequate education</w:t>
      </w:r>
      <w:r w:rsidR="00C903BA">
        <w:rPr>
          <w:bCs/>
        </w:rPr>
        <w:t>.</w:t>
      </w:r>
    </w:p>
    <w:p w:rsidR="00C903BA" w:rsidRPr="00F40195" w:rsidRDefault="00C903BA" w:rsidP="00F40195">
      <w:pPr>
        <w:pStyle w:val="Normaldble"/>
        <w:numPr>
          <w:ilvl w:val="0"/>
          <w:numId w:val="26"/>
        </w:numPr>
        <w:spacing w:line="240" w:lineRule="auto"/>
      </w:pPr>
      <w:r>
        <w:rPr>
          <w:b/>
          <w:bCs/>
        </w:rPr>
        <w:t>Table 4.5: Kentucky Prototypical Central Office</w:t>
      </w:r>
      <w:r w:rsidRPr="00C903BA">
        <w:rPr>
          <w:bCs/>
        </w:rPr>
        <w:t xml:space="preserve"> </w:t>
      </w:r>
      <w:r w:rsidRPr="00F40195">
        <w:rPr>
          <w:bCs/>
        </w:rPr>
        <w:t xml:space="preserve">provides staffing levels for </w:t>
      </w:r>
      <w:r>
        <w:rPr>
          <w:bCs/>
        </w:rPr>
        <w:t>a Central Office serving 3900 students.</w:t>
      </w:r>
      <w:r w:rsidRPr="00F40195">
        <w:rPr>
          <w:bCs/>
        </w:rPr>
        <w:t xml:space="preserve"> </w:t>
      </w:r>
    </w:p>
    <w:p w:rsidR="005C4CBF" w:rsidRDefault="005C4CBF">
      <w:pPr>
        <w:rPr>
          <w:rFonts w:cs="Times New Roman"/>
          <w:b/>
        </w:rPr>
      </w:pPr>
      <w:r>
        <w:rPr>
          <w:rFonts w:cs="Times New Roman"/>
          <w:b/>
        </w:rPr>
        <w:br w:type="page"/>
      </w:r>
    </w:p>
    <w:p w:rsidR="0035047D" w:rsidRPr="00F40195" w:rsidRDefault="00644E2E" w:rsidP="00F40195">
      <w:pPr>
        <w:spacing w:line="240" w:lineRule="auto"/>
        <w:jc w:val="center"/>
        <w:rPr>
          <w:rFonts w:cs="Times New Roman"/>
          <w:b/>
        </w:rPr>
      </w:pPr>
      <w:r w:rsidRPr="00F40195">
        <w:rPr>
          <w:rFonts w:cs="Times New Roman"/>
          <w:b/>
        </w:rPr>
        <w:lastRenderedPageBreak/>
        <w:t>Table 4.1</w:t>
      </w:r>
    </w:p>
    <w:p w:rsidR="0035047D" w:rsidRPr="00F40195" w:rsidRDefault="0035047D" w:rsidP="00F40195">
      <w:pPr>
        <w:spacing w:line="240" w:lineRule="auto"/>
        <w:jc w:val="center"/>
        <w:rPr>
          <w:rFonts w:cs="Times New Roman"/>
          <w:b/>
        </w:rPr>
      </w:pPr>
      <w:r w:rsidRPr="00F40195">
        <w:rPr>
          <w:rFonts w:cs="Times New Roman"/>
          <w:b/>
        </w:rPr>
        <w:t xml:space="preserve">Kentucky </w:t>
      </w:r>
      <w:r w:rsidR="00533E51" w:rsidRPr="00F40195">
        <w:rPr>
          <w:rFonts w:cs="Times New Roman"/>
          <w:b/>
        </w:rPr>
        <w:t>Prototypical</w:t>
      </w:r>
      <w:r w:rsidR="00644E2E" w:rsidRPr="00F40195">
        <w:rPr>
          <w:rFonts w:cs="Times New Roman"/>
          <w:b/>
        </w:rPr>
        <w:t xml:space="preserve"> Elementary, Middle and High School</w:t>
      </w:r>
      <w:r w:rsidR="007E3F6E" w:rsidRPr="00F40195">
        <w:rPr>
          <w:rFonts w:cs="Times New Roman"/>
          <w:b/>
        </w:rPr>
        <w:t xml:space="preserve"> Models</w:t>
      </w:r>
    </w:p>
    <w:p w:rsidR="007E3F6E" w:rsidRPr="00F40195" w:rsidRDefault="007E3F6E" w:rsidP="00F40195">
      <w:pPr>
        <w:spacing w:line="240" w:lineRule="auto"/>
        <w:jc w:val="center"/>
        <w:rPr>
          <w:rFonts w:cs="Times New Roman"/>
          <w:bCs/>
        </w:rPr>
      </w:pPr>
    </w:p>
    <w:tbl>
      <w:tblPr>
        <w:tblW w:w="747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1800"/>
        <w:gridCol w:w="1980"/>
        <w:gridCol w:w="1755"/>
        <w:gridCol w:w="1935"/>
      </w:tblGrid>
      <w:tr w:rsidR="007E3F6E" w:rsidRPr="00F40195" w:rsidTr="00D02DCC">
        <w:trPr>
          <w:jc w:val="center"/>
        </w:trPr>
        <w:tc>
          <w:tcPr>
            <w:tcW w:w="1800" w:type="dxa"/>
            <w:tcBorders>
              <w:top w:val="single" w:sz="24" w:space="0" w:color="auto"/>
              <w:bottom w:val="single" w:sz="24" w:space="0" w:color="auto"/>
            </w:tcBorders>
            <w:vAlign w:val="bottom"/>
          </w:tcPr>
          <w:p w:rsidR="007E3F6E" w:rsidRPr="00F40195" w:rsidRDefault="007E3F6E" w:rsidP="00F40195">
            <w:pPr>
              <w:spacing w:line="240" w:lineRule="auto"/>
              <w:contextualSpacing/>
              <w:jc w:val="center"/>
              <w:rPr>
                <w:rFonts w:cs="Times New Roman"/>
                <w:b/>
                <w:bCs/>
                <w:sz w:val="20"/>
                <w:szCs w:val="20"/>
              </w:rPr>
            </w:pPr>
            <w:r w:rsidRPr="00F40195">
              <w:rPr>
                <w:rFonts w:cs="Times New Roman"/>
                <w:b/>
                <w:sz w:val="20"/>
                <w:szCs w:val="20"/>
              </w:rPr>
              <w:t>School Element</w:t>
            </w:r>
          </w:p>
        </w:tc>
        <w:tc>
          <w:tcPr>
            <w:tcW w:w="1980" w:type="dxa"/>
            <w:tcBorders>
              <w:top w:val="single" w:sz="24" w:space="0" w:color="auto"/>
              <w:bottom w:val="single" w:sz="24" w:space="0" w:color="auto"/>
            </w:tcBorders>
            <w:vAlign w:val="bottom"/>
          </w:tcPr>
          <w:p w:rsidR="007E3F6E" w:rsidRPr="00F40195" w:rsidRDefault="007E3F6E" w:rsidP="00F40195">
            <w:pPr>
              <w:pStyle w:val="Heading4"/>
            </w:pPr>
            <w:r w:rsidRPr="00F40195">
              <w:t>Elementary Schools</w:t>
            </w:r>
          </w:p>
        </w:tc>
        <w:tc>
          <w:tcPr>
            <w:tcW w:w="1755" w:type="dxa"/>
            <w:tcBorders>
              <w:top w:val="single" w:sz="24" w:space="0" w:color="auto"/>
              <w:bottom w:val="single" w:sz="24" w:space="0" w:color="auto"/>
            </w:tcBorders>
            <w:vAlign w:val="bottom"/>
          </w:tcPr>
          <w:p w:rsidR="007E3F6E" w:rsidRPr="00F40195" w:rsidRDefault="007E3F6E" w:rsidP="00F40195">
            <w:pPr>
              <w:spacing w:line="240" w:lineRule="auto"/>
              <w:contextualSpacing/>
              <w:jc w:val="center"/>
              <w:rPr>
                <w:rFonts w:cs="Times New Roman"/>
                <w:b/>
                <w:bCs/>
                <w:sz w:val="20"/>
                <w:szCs w:val="20"/>
              </w:rPr>
            </w:pPr>
            <w:r w:rsidRPr="00F40195">
              <w:rPr>
                <w:rFonts w:cs="Times New Roman"/>
                <w:b/>
                <w:bCs/>
                <w:sz w:val="20"/>
                <w:szCs w:val="20"/>
              </w:rPr>
              <w:t>Middle Schools</w:t>
            </w:r>
          </w:p>
        </w:tc>
        <w:tc>
          <w:tcPr>
            <w:tcW w:w="1935" w:type="dxa"/>
            <w:tcBorders>
              <w:top w:val="single" w:sz="24" w:space="0" w:color="auto"/>
              <w:bottom w:val="single" w:sz="24" w:space="0" w:color="auto"/>
            </w:tcBorders>
            <w:vAlign w:val="bottom"/>
          </w:tcPr>
          <w:p w:rsidR="007E3F6E" w:rsidRPr="00F40195" w:rsidRDefault="007E3F6E" w:rsidP="00F40195">
            <w:pPr>
              <w:spacing w:line="240" w:lineRule="auto"/>
              <w:contextualSpacing/>
              <w:jc w:val="center"/>
              <w:rPr>
                <w:rFonts w:cs="Times New Roman"/>
                <w:b/>
                <w:bCs/>
                <w:sz w:val="20"/>
                <w:szCs w:val="20"/>
              </w:rPr>
            </w:pPr>
            <w:r w:rsidRPr="00F40195">
              <w:rPr>
                <w:rFonts w:cs="Times New Roman"/>
                <w:b/>
                <w:bCs/>
                <w:sz w:val="20"/>
                <w:szCs w:val="20"/>
              </w:rPr>
              <w:t>High Schools</w:t>
            </w:r>
          </w:p>
        </w:tc>
      </w:tr>
      <w:tr w:rsidR="007E3F6E" w:rsidRPr="00F40195" w:rsidTr="00D02DCC">
        <w:trPr>
          <w:jc w:val="center"/>
        </w:trPr>
        <w:tc>
          <w:tcPr>
            <w:tcW w:w="1800" w:type="dxa"/>
            <w:vAlign w:val="center"/>
          </w:tcPr>
          <w:p w:rsidR="007E3F6E" w:rsidRPr="00F40195" w:rsidRDefault="007E3F6E" w:rsidP="00F40195">
            <w:pPr>
              <w:spacing w:line="240" w:lineRule="auto"/>
              <w:contextualSpacing/>
              <w:rPr>
                <w:rFonts w:cs="Times New Roman"/>
                <w:sz w:val="20"/>
                <w:szCs w:val="20"/>
              </w:rPr>
            </w:pPr>
            <w:r w:rsidRPr="00F40195">
              <w:rPr>
                <w:rFonts w:cs="Times New Roman"/>
                <w:sz w:val="20"/>
                <w:szCs w:val="20"/>
              </w:rPr>
              <w:t>School Configuration</w:t>
            </w:r>
          </w:p>
        </w:tc>
        <w:tc>
          <w:tcPr>
            <w:tcW w:w="1980"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K-5</w:t>
            </w:r>
          </w:p>
        </w:tc>
        <w:tc>
          <w:tcPr>
            <w:tcW w:w="175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6-8</w:t>
            </w:r>
          </w:p>
        </w:tc>
        <w:tc>
          <w:tcPr>
            <w:tcW w:w="193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9-12</w:t>
            </w:r>
          </w:p>
        </w:tc>
      </w:tr>
      <w:tr w:rsidR="007E3F6E" w:rsidRPr="00F40195" w:rsidTr="00D02DCC">
        <w:trPr>
          <w:jc w:val="center"/>
        </w:trPr>
        <w:tc>
          <w:tcPr>
            <w:tcW w:w="1800" w:type="dxa"/>
            <w:vAlign w:val="center"/>
          </w:tcPr>
          <w:p w:rsidR="007E3F6E" w:rsidRPr="00F40195" w:rsidRDefault="007E3F6E" w:rsidP="00F40195">
            <w:pPr>
              <w:spacing w:line="240" w:lineRule="auto"/>
              <w:contextualSpacing/>
              <w:rPr>
                <w:rFonts w:cs="Times New Roman"/>
                <w:sz w:val="20"/>
                <w:szCs w:val="20"/>
              </w:rPr>
            </w:pPr>
            <w:r w:rsidRPr="00F40195">
              <w:rPr>
                <w:rFonts w:cs="Times New Roman"/>
                <w:sz w:val="20"/>
                <w:szCs w:val="20"/>
              </w:rPr>
              <w:t>Prototypical school size</w:t>
            </w:r>
          </w:p>
        </w:tc>
        <w:tc>
          <w:tcPr>
            <w:tcW w:w="1980"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450</w:t>
            </w:r>
          </w:p>
        </w:tc>
        <w:tc>
          <w:tcPr>
            <w:tcW w:w="175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450</w:t>
            </w:r>
          </w:p>
        </w:tc>
        <w:tc>
          <w:tcPr>
            <w:tcW w:w="193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600</w:t>
            </w:r>
          </w:p>
        </w:tc>
      </w:tr>
      <w:tr w:rsidR="007E3F6E" w:rsidRPr="00F40195" w:rsidTr="00D02DCC">
        <w:trPr>
          <w:jc w:val="center"/>
        </w:trPr>
        <w:tc>
          <w:tcPr>
            <w:tcW w:w="1800" w:type="dxa"/>
            <w:vAlign w:val="center"/>
          </w:tcPr>
          <w:p w:rsidR="007E3F6E" w:rsidRPr="00F40195" w:rsidRDefault="007E3F6E" w:rsidP="00F40195">
            <w:pPr>
              <w:spacing w:line="240" w:lineRule="auto"/>
              <w:contextualSpacing/>
              <w:rPr>
                <w:rFonts w:cs="Times New Roman"/>
                <w:sz w:val="20"/>
                <w:szCs w:val="20"/>
              </w:rPr>
            </w:pPr>
            <w:r w:rsidRPr="00F40195">
              <w:rPr>
                <w:rFonts w:cs="Times New Roman"/>
                <w:sz w:val="20"/>
                <w:szCs w:val="20"/>
              </w:rPr>
              <w:t>Class size</w:t>
            </w:r>
          </w:p>
        </w:tc>
        <w:tc>
          <w:tcPr>
            <w:tcW w:w="1980"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 xml:space="preserve">K-3: 15; 4-5: </w:t>
            </w:r>
            <w:r w:rsidRPr="00F40195">
              <w:rPr>
                <w:rFonts w:cs="Times New Roman"/>
                <w:iCs/>
                <w:sz w:val="20"/>
                <w:szCs w:val="20"/>
              </w:rPr>
              <w:t>25</w:t>
            </w:r>
          </w:p>
        </w:tc>
        <w:tc>
          <w:tcPr>
            <w:tcW w:w="1755" w:type="dxa"/>
            <w:vAlign w:val="center"/>
          </w:tcPr>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6-8: 25</w:t>
            </w:r>
          </w:p>
        </w:tc>
        <w:tc>
          <w:tcPr>
            <w:tcW w:w="193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9-12: 25</w:t>
            </w:r>
          </w:p>
        </w:tc>
      </w:tr>
      <w:tr w:rsidR="007E3F6E" w:rsidRPr="00F40195" w:rsidTr="00D02DCC">
        <w:trPr>
          <w:jc w:val="center"/>
        </w:trPr>
        <w:tc>
          <w:tcPr>
            <w:tcW w:w="1800" w:type="dxa"/>
            <w:vAlign w:val="center"/>
          </w:tcPr>
          <w:p w:rsidR="007E3F6E" w:rsidRPr="00F40195" w:rsidRDefault="007E3F6E" w:rsidP="00F40195">
            <w:pPr>
              <w:spacing w:line="240" w:lineRule="auto"/>
              <w:contextualSpacing/>
              <w:rPr>
                <w:rFonts w:cs="Times New Roman"/>
                <w:sz w:val="20"/>
                <w:szCs w:val="20"/>
              </w:rPr>
            </w:pPr>
            <w:r w:rsidRPr="00F40195">
              <w:rPr>
                <w:rFonts w:cs="Times New Roman"/>
                <w:sz w:val="20"/>
                <w:szCs w:val="20"/>
              </w:rPr>
              <w:t>Full-day kindergarten</w:t>
            </w:r>
          </w:p>
        </w:tc>
        <w:tc>
          <w:tcPr>
            <w:tcW w:w="1980"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Yes</w:t>
            </w:r>
          </w:p>
        </w:tc>
        <w:tc>
          <w:tcPr>
            <w:tcW w:w="175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NA</w:t>
            </w:r>
          </w:p>
        </w:tc>
        <w:tc>
          <w:tcPr>
            <w:tcW w:w="193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NA</w:t>
            </w:r>
          </w:p>
        </w:tc>
      </w:tr>
      <w:tr w:rsidR="003622A5" w:rsidRPr="00F40195" w:rsidTr="00DC5525">
        <w:trPr>
          <w:jc w:val="center"/>
        </w:trPr>
        <w:tc>
          <w:tcPr>
            <w:tcW w:w="1800" w:type="dxa"/>
            <w:vAlign w:val="center"/>
          </w:tcPr>
          <w:p w:rsidR="003622A5" w:rsidRPr="00F40195" w:rsidRDefault="00C903BA" w:rsidP="00F40195">
            <w:pPr>
              <w:spacing w:line="240" w:lineRule="auto"/>
              <w:contextualSpacing/>
              <w:rPr>
                <w:rFonts w:cs="Times New Roman"/>
                <w:sz w:val="20"/>
                <w:szCs w:val="20"/>
              </w:rPr>
            </w:pPr>
            <w:r>
              <w:rPr>
                <w:rFonts w:cs="Times New Roman"/>
                <w:sz w:val="20"/>
                <w:szCs w:val="20"/>
              </w:rPr>
              <w:t>Length of Teacher Contract</w:t>
            </w:r>
          </w:p>
        </w:tc>
        <w:tc>
          <w:tcPr>
            <w:tcW w:w="5670" w:type="dxa"/>
            <w:gridSpan w:val="3"/>
            <w:vAlign w:val="center"/>
          </w:tcPr>
          <w:p w:rsidR="003622A5" w:rsidRPr="00F40195" w:rsidRDefault="00C903BA" w:rsidP="00F40195">
            <w:pPr>
              <w:spacing w:line="240" w:lineRule="auto"/>
              <w:contextualSpacing/>
              <w:jc w:val="center"/>
              <w:rPr>
                <w:rFonts w:cs="Times New Roman"/>
                <w:sz w:val="20"/>
                <w:szCs w:val="20"/>
              </w:rPr>
            </w:pPr>
            <w:r>
              <w:rPr>
                <w:rFonts w:cs="Times New Roman"/>
                <w:sz w:val="20"/>
                <w:szCs w:val="20"/>
              </w:rPr>
              <w:t>192</w:t>
            </w:r>
            <w:r w:rsidR="003622A5" w:rsidRPr="00F40195">
              <w:rPr>
                <w:rFonts w:cs="Times New Roman"/>
                <w:sz w:val="20"/>
                <w:szCs w:val="20"/>
              </w:rPr>
              <w:t xml:space="preserve"> work days:</w:t>
            </w:r>
          </w:p>
          <w:p w:rsidR="003622A5" w:rsidRPr="00F40195" w:rsidRDefault="003622A5" w:rsidP="00F40195">
            <w:pPr>
              <w:spacing w:line="240" w:lineRule="auto"/>
              <w:contextualSpacing/>
              <w:jc w:val="center"/>
              <w:rPr>
                <w:rFonts w:cs="Times New Roman"/>
                <w:sz w:val="20"/>
                <w:szCs w:val="20"/>
              </w:rPr>
            </w:pPr>
            <w:r w:rsidRPr="00F40195">
              <w:rPr>
                <w:rFonts w:cs="Times New Roman"/>
                <w:sz w:val="20"/>
                <w:szCs w:val="20"/>
              </w:rPr>
              <w:t>Instruction: 174</w:t>
            </w:r>
            <w:r w:rsidR="00C903BA">
              <w:rPr>
                <w:rFonts w:cs="Times New Roman"/>
                <w:sz w:val="20"/>
                <w:szCs w:val="20"/>
              </w:rPr>
              <w:t>, Holidays: 4</w:t>
            </w:r>
          </w:p>
          <w:p w:rsidR="00C903BA" w:rsidRPr="00F40195" w:rsidRDefault="00C903BA" w:rsidP="00C903BA">
            <w:pPr>
              <w:spacing w:line="240" w:lineRule="auto"/>
              <w:contextualSpacing/>
              <w:jc w:val="center"/>
              <w:rPr>
                <w:rFonts w:cs="Times New Roman"/>
                <w:sz w:val="20"/>
                <w:szCs w:val="20"/>
              </w:rPr>
            </w:pPr>
            <w:r w:rsidRPr="00F40195">
              <w:rPr>
                <w:rFonts w:cs="Times New Roman"/>
                <w:sz w:val="20"/>
                <w:szCs w:val="20"/>
              </w:rPr>
              <w:t>Open/Close Schools &amp; Parent Conferences: 4</w:t>
            </w:r>
          </w:p>
          <w:p w:rsidR="003622A5" w:rsidRPr="00F40195" w:rsidRDefault="003622A5" w:rsidP="00F40195">
            <w:pPr>
              <w:spacing w:line="240" w:lineRule="auto"/>
              <w:contextualSpacing/>
              <w:jc w:val="center"/>
              <w:rPr>
                <w:rFonts w:cs="Times New Roman"/>
                <w:sz w:val="20"/>
                <w:szCs w:val="20"/>
              </w:rPr>
            </w:pPr>
            <w:r w:rsidRPr="00F40195">
              <w:rPr>
                <w:rFonts w:cs="Times New Roman"/>
                <w:sz w:val="20"/>
                <w:szCs w:val="20"/>
              </w:rPr>
              <w:t>Professional Dev.: 10</w:t>
            </w:r>
          </w:p>
          <w:p w:rsidR="003622A5" w:rsidRPr="00F40195" w:rsidRDefault="00C903BA" w:rsidP="00F40195">
            <w:pPr>
              <w:spacing w:line="240" w:lineRule="auto"/>
              <w:contextualSpacing/>
              <w:jc w:val="center"/>
              <w:rPr>
                <w:rFonts w:cs="Times New Roman"/>
                <w:sz w:val="20"/>
                <w:szCs w:val="20"/>
              </w:rPr>
            </w:pPr>
            <w:r w:rsidRPr="00F40195">
              <w:rPr>
                <w:rFonts w:cs="Times New Roman"/>
                <w:sz w:val="20"/>
                <w:szCs w:val="20"/>
              </w:rPr>
              <w:t xml:space="preserve"> </w:t>
            </w:r>
            <w:r w:rsidR="003622A5" w:rsidRPr="00F40195">
              <w:rPr>
                <w:rFonts w:cs="Times New Roman"/>
                <w:sz w:val="20"/>
                <w:szCs w:val="20"/>
              </w:rPr>
              <w:t>(total includes 6 additional PD days)</w:t>
            </w:r>
          </w:p>
        </w:tc>
      </w:tr>
      <w:tr w:rsidR="007E3F6E" w:rsidRPr="00F40195" w:rsidTr="00D02DCC">
        <w:trPr>
          <w:jc w:val="center"/>
        </w:trPr>
        <w:tc>
          <w:tcPr>
            <w:tcW w:w="1800" w:type="dxa"/>
            <w:vAlign w:val="center"/>
          </w:tcPr>
          <w:p w:rsidR="007E3F6E" w:rsidRPr="00F40195" w:rsidRDefault="007E3F6E" w:rsidP="00F40195">
            <w:pPr>
              <w:spacing w:line="240" w:lineRule="auto"/>
              <w:rPr>
                <w:rFonts w:cs="Times New Roman"/>
              </w:rPr>
            </w:pPr>
            <w:r w:rsidRPr="00F40195">
              <w:rPr>
                <w:rFonts w:cs="Times New Roman"/>
                <w:b/>
              </w:rPr>
              <w:t>Personnel Resources</w:t>
            </w:r>
          </w:p>
        </w:tc>
        <w:tc>
          <w:tcPr>
            <w:tcW w:w="1980" w:type="dxa"/>
            <w:vAlign w:val="center"/>
          </w:tcPr>
          <w:p w:rsidR="007E3F6E" w:rsidRPr="00F40195" w:rsidRDefault="007E3F6E" w:rsidP="00F40195">
            <w:pPr>
              <w:spacing w:line="240" w:lineRule="auto"/>
              <w:contextualSpacing/>
              <w:jc w:val="center"/>
              <w:rPr>
                <w:rFonts w:cs="Times New Roman"/>
                <w:sz w:val="20"/>
                <w:szCs w:val="20"/>
              </w:rPr>
            </w:pPr>
          </w:p>
        </w:tc>
        <w:tc>
          <w:tcPr>
            <w:tcW w:w="1755" w:type="dxa"/>
            <w:vAlign w:val="center"/>
          </w:tcPr>
          <w:p w:rsidR="007E3F6E" w:rsidRPr="00F40195" w:rsidRDefault="007E3F6E" w:rsidP="00F40195">
            <w:pPr>
              <w:spacing w:line="240" w:lineRule="auto"/>
              <w:contextualSpacing/>
              <w:jc w:val="center"/>
              <w:rPr>
                <w:rFonts w:cs="Times New Roman"/>
                <w:sz w:val="20"/>
                <w:szCs w:val="20"/>
              </w:rPr>
            </w:pPr>
          </w:p>
        </w:tc>
        <w:tc>
          <w:tcPr>
            <w:tcW w:w="1935" w:type="dxa"/>
            <w:vAlign w:val="center"/>
          </w:tcPr>
          <w:p w:rsidR="007E3F6E" w:rsidRPr="00F40195" w:rsidRDefault="007E3F6E" w:rsidP="00F40195">
            <w:pPr>
              <w:spacing w:line="240" w:lineRule="auto"/>
              <w:contextualSpacing/>
              <w:jc w:val="center"/>
              <w:rPr>
                <w:rFonts w:cs="Times New Roman"/>
                <w:sz w:val="20"/>
                <w:szCs w:val="20"/>
              </w:rPr>
            </w:pPr>
          </w:p>
        </w:tc>
      </w:tr>
      <w:tr w:rsidR="007E3F6E" w:rsidRPr="00F40195" w:rsidTr="00D02DCC">
        <w:trPr>
          <w:jc w:val="center"/>
        </w:trPr>
        <w:tc>
          <w:tcPr>
            <w:tcW w:w="1800" w:type="dxa"/>
            <w:vAlign w:val="center"/>
          </w:tcPr>
          <w:p w:rsidR="007E3F6E" w:rsidRPr="00F40195" w:rsidRDefault="007E3F6E" w:rsidP="00F40195">
            <w:pPr>
              <w:spacing w:line="240" w:lineRule="auto"/>
              <w:contextualSpacing/>
              <w:rPr>
                <w:rFonts w:cs="Times New Roman"/>
                <w:sz w:val="20"/>
                <w:szCs w:val="20"/>
              </w:rPr>
            </w:pPr>
            <w:r w:rsidRPr="00F40195">
              <w:rPr>
                <w:rFonts w:cs="Times New Roman"/>
                <w:sz w:val="20"/>
                <w:szCs w:val="20"/>
              </w:rPr>
              <w:t xml:space="preserve">Core </w:t>
            </w:r>
            <w:r w:rsidR="00780E75" w:rsidRPr="00F40195">
              <w:rPr>
                <w:rFonts w:cs="Times New Roman"/>
                <w:sz w:val="20"/>
                <w:szCs w:val="20"/>
              </w:rPr>
              <w:t xml:space="preserve">Content </w:t>
            </w:r>
            <w:r w:rsidRPr="00F40195">
              <w:rPr>
                <w:rFonts w:cs="Times New Roman"/>
                <w:sz w:val="20"/>
                <w:szCs w:val="20"/>
              </w:rPr>
              <w:t>Teachers</w:t>
            </w:r>
          </w:p>
        </w:tc>
        <w:tc>
          <w:tcPr>
            <w:tcW w:w="1980" w:type="dxa"/>
            <w:vAlign w:val="center"/>
          </w:tcPr>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26</w:t>
            </w:r>
          </w:p>
        </w:tc>
        <w:tc>
          <w:tcPr>
            <w:tcW w:w="1755" w:type="dxa"/>
            <w:vAlign w:val="center"/>
          </w:tcPr>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18</w:t>
            </w:r>
          </w:p>
        </w:tc>
        <w:tc>
          <w:tcPr>
            <w:tcW w:w="1935" w:type="dxa"/>
            <w:vAlign w:val="center"/>
          </w:tcPr>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24</w:t>
            </w:r>
          </w:p>
        </w:tc>
      </w:tr>
      <w:tr w:rsidR="007E3F6E" w:rsidRPr="00F40195" w:rsidTr="00D02DCC">
        <w:trPr>
          <w:jc w:val="center"/>
        </w:trPr>
        <w:tc>
          <w:tcPr>
            <w:tcW w:w="1800" w:type="dxa"/>
            <w:vAlign w:val="center"/>
          </w:tcPr>
          <w:p w:rsidR="007E3F6E" w:rsidRPr="00F40195" w:rsidRDefault="00DC40D7" w:rsidP="00F40195">
            <w:pPr>
              <w:spacing w:line="240" w:lineRule="auto"/>
              <w:rPr>
                <w:rFonts w:cs="Times New Roman"/>
                <w:sz w:val="20"/>
                <w:szCs w:val="20"/>
              </w:rPr>
            </w:pPr>
            <w:r w:rsidRPr="00F40195">
              <w:rPr>
                <w:rFonts w:cs="Times New Roman"/>
                <w:sz w:val="20"/>
                <w:szCs w:val="20"/>
              </w:rPr>
              <w:t>Specialist</w:t>
            </w:r>
            <w:r w:rsidR="007E3F6E" w:rsidRPr="00F40195">
              <w:rPr>
                <w:rFonts w:cs="Times New Roman"/>
                <w:sz w:val="20"/>
                <w:szCs w:val="20"/>
              </w:rPr>
              <w:t xml:space="preserve"> Teachers</w:t>
            </w:r>
          </w:p>
        </w:tc>
        <w:tc>
          <w:tcPr>
            <w:tcW w:w="1980" w:type="dxa"/>
            <w:vAlign w:val="center"/>
          </w:tcPr>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 xml:space="preserve">20% more </w:t>
            </w:r>
          </w:p>
          <w:p w:rsidR="007E3F6E" w:rsidRPr="00F40195" w:rsidRDefault="007E3F6E" w:rsidP="00F40195">
            <w:pPr>
              <w:spacing w:line="240" w:lineRule="auto"/>
              <w:contextualSpacing/>
              <w:jc w:val="center"/>
              <w:rPr>
                <w:rFonts w:cs="Times New Roman"/>
                <w:iCs/>
                <w:sz w:val="20"/>
                <w:szCs w:val="20"/>
              </w:rPr>
            </w:pPr>
          </w:p>
          <w:p w:rsidR="007E3F6E" w:rsidRPr="00F40195" w:rsidRDefault="007E3F6E" w:rsidP="00F40195">
            <w:pPr>
              <w:spacing w:line="240" w:lineRule="auto"/>
              <w:contextualSpacing/>
              <w:jc w:val="center"/>
              <w:rPr>
                <w:rFonts w:cs="Times New Roman"/>
                <w:i/>
                <w:sz w:val="20"/>
                <w:szCs w:val="20"/>
              </w:rPr>
            </w:pPr>
            <w:r w:rsidRPr="00F40195">
              <w:rPr>
                <w:rFonts w:cs="Times New Roman"/>
                <w:iCs/>
                <w:sz w:val="20"/>
                <w:szCs w:val="20"/>
              </w:rPr>
              <w:t>5.2</w:t>
            </w:r>
          </w:p>
        </w:tc>
        <w:tc>
          <w:tcPr>
            <w:tcW w:w="1755" w:type="dxa"/>
            <w:vAlign w:val="center"/>
          </w:tcPr>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 xml:space="preserve">20% more </w:t>
            </w:r>
          </w:p>
          <w:p w:rsidR="007E3F6E" w:rsidRPr="00F40195" w:rsidRDefault="007E3F6E" w:rsidP="00F40195">
            <w:pPr>
              <w:spacing w:line="240" w:lineRule="auto"/>
              <w:contextualSpacing/>
              <w:jc w:val="center"/>
              <w:rPr>
                <w:rFonts w:cs="Times New Roman"/>
                <w:iCs/>
                <w:sz w:val="20"/>
                <w:szCs w:val="20"/>
              </w:rPr>
            </w:pPr>
          </w:p>
          <w:p w:rsidR="007E3F6E" w:rsidRPr="00F40195" w:rsidRDefault="007E3F6E" w:rsidP="00F40195">
            <w:pPr>
              <w:spacing w:line="240" w:lineRule="auto"/>
              <w:contextualSpacing/>
              <w:jc w:val="center"/>
              <w:rPr>
                <w:rFonts w:cs="Times New Roman"/>
                <w:i/>
                <w:sz w:val="20"/>
                <w:szCs w:val="20"/>
              </w:rPr>
            </w:pPr>
            <w:r w:rsidRPr="00F40195">
              <w:rPr>
                <w:rFonts w:cs="Times New Roman"/>
                <w:iCs/>
                <w:sz w:val="20"/>
                <w:szCs w:val="20"/>
              </w:rPr>
              <w:t>3.6</w:t>
            </w:r>
          </w:p>
        </w:tc>
        <w:tc>
          <w:tcPr>
            <w:tcW w:w="1935" w:type="dxa"/>
            <w:vAlign w:val="center"/>
          </w:tcPr>
          <w:p w:rsidR="007E3F6E" w:rsidRPr="00F40195" w:rsidRDefault="00644E2E" w:rsidP="00F40195">
            <w:pPr>
              <w:spacing w:line="240" w:lineRule="auto"/>
              <w:contextualSpacing/>
              <w:jc w:val="center"/>
              <w:rPr>
                <w:rFonts w:cs="Times New Roman"/>
                <w:iCs/>
                <w:sz w:val="20"/>
                <w:szCs w:val="20"/>
              </w:rPr>
            </w:pPr>
            <w:r w:rsidRPr="00F40195">
              <w:rPr>
                <w:rFonts w:cs="Times New Roman"/>
                <w:iCs/>
                <w:sz w:val="20"/>
                <w:szCs w:val="20"/>
              </w:rPr>
              <w:t>33.33</w:t>
            </w:r>
            <w:r w:rsidR="007E3F6E" w:rsidRPr="00F40195">
              <w:rPr>
                <w:rFonts w:cs="Times New Roman"/>
                <w:iCs/>
                <w:sz w:val="20"/>
                <w:szCs w:val="20"/>
              </w:rPr>
              <w:t>% more assuming a 90 minute block schedule; teachers teach 3 blocks daily:</w:t>
            </w:r>
          </w:p>
          <w:p w:rsidR="007E3F6E" w:rsidRPr="00F40195" w:rsidRDefault="007E3F6E" w:rsidP="00F40195">
            <w:pPr>
              <w:spacing w:line="240" w:lineRule="auto"/>
              <w:contextualSpacing/>
              <w:jc w:val="center"/>
              <w:rPr>
                <w:rFonts w:cs="Times New Roman"/>
                <w:i/>
                <w:sz w:val="20"/>
                <w:szCs w:val="20"/>
              </w:rPr>
            </w:pPr>
            <w:r w:rsidRPr="00F40195">
              <w:rPr>
                <w:rFonts w:cs="Times New Roman"/>
                <w:iCs/>
                <w:sz w:val="20"/>
                <w:szCs w:val="20"/>
              </w:rPr>
              <w:t>8.0</w:t>
            </w:r>
          </w:p>
        </w:tc>
      </w:tr>
      <w:tr w:rsidR="007E3F6E" w:rsidRPr="00F40195" w:rsidTr="00D02DCC">
        <w:trPr>
          <w:trHeight w:val="830"/>
          <w:jc w:val="center"/>
        </w:trPr>
        <w:tc>
          <w:tcPr>
            <w:tcW w:w="1800" w:type="dxa"/>
            <w:vAlign w:val="center"/>
          </w:tcPr>
          <w:p w:rsidR="007E3F6E" w:rsidRPr="00F40195" w:rsidRDefault="007E3F6E" w:rsidP="00F40195">
            <w:pPr>
              <w:pStyle w:val="Footer"/>
              <w:contextualSpacing/>
              <w:rPr>
                <w:rFonts w:cs="Times New Roman"/>
                <w:sz w:val="20"/>
                <w:szCs w:val="20"/>
              </w:rPr>
            </w:pPr>
            <w:r w:rsidRPr="00F40195">
              <w:rPr>
                <w:rFonts w:cs="Times New Roman"/>
                <w:sz w:val="20"/>
                <w:szCs w:val="20"/>
              </w:rPr>
              <w:t>Instructional Coaches</w:t>
            </w:r>
          </w:p>
        </w:tc>
        <w:tc>
          <w:tcPr>
            <w:tcW w:w="1980" w:type="dxa"/>
            <w:vAlign w:val="center"/>
          </w:tcPr>
          <w:p w:rsidR="007E3F6E" w:rsidRPr="00F40195" w:rsidRDefault="007E3F6E" w:rsidP="00F40195">
            <w:pPr>
              <w:spacing w:line="240" w:lineRule="auto"/>
              <w:contextualSpacing/>
              <w:rPr>
                <w:rFonts w:cs="Times New Roman"/>
                <w:iCs/>
                <w:sz w:val="20"/>
                <w:szCs w:val="20"/>
              </w:rPr>
            </w:pPr>
            <w:r w:rsidRPr="00F40195">
              <w:rPr>
                <w:rFonts w:cs="Times New Roman"/>
                <w:sz w:val="20"/>
                <w:szCs w:val="20"/>
              </w:rPr>
              <w:t>1 per 200 students:</w:t>
            </w:r>
            <w:r w:rsidRPr="00F40195">
              <w:rPr>
                <w:rFonts w:cs="Times New Roman"/>
                <w:iCs/>
                <w:sz w:val="20"/>
                <w:szCs w:val="20"/>
              </w:rPr>
              <w:t xml:space="preserve"> </w:t>
            </w:r>
          </w:p>
          <w:p w:rsidR="007E3F6E" w:rsidRPr="00F40195" w:rsidRDefault="007E3F6E" w:rsidP="00F40195">
            <w:pPr>
              <w:spacing w:line="240" w:lineRule="auto"/>
              <w:contextualSpacing/>
              <w:jc w:val="center"/>
              <w:rPr>
                <w:rFonts w:cs="Times New Roman"/>
                <w:i/>
                <w:sz w:val="20"/>
                <w:szCs w:val="20"/>
              </w:rPr>
            </w:pPr>
            <w:r w:rsidRPr="00F40195">
              <w:rPr>
                <w:rFonts w:cs="Times New Roman"/>
                <w:iCs/>
                <w:sz w:val="20"/>
                <w:szCs w:val="20"/>
              </w:rPr>
              <w:t>2.25</w:t>
            </w:r>
          </w:p>
        </w:tc>
        <w:tc>
          <w:tcPr>
            <w:tcW w:w="1755" w:type="dxa"/>
            <w:vAlign w:val="center"/>
          </w:tcPr>
          <w:p w:rsidR="007E3F6E" w:rsidRPr="00F40195" w:rsidRDefault="007E3F6E" w:rsidP="00F40195">
            <w:pPr>
              <w:spacing w:line="240" w:lineRule="auto"/>
              <w:contextualSpacing/>
              <w:rPr>
                <w:rFonts w:cs="Times New Roman"/>
                <w:iCs/>
                <w:sz w:val="20"/>
                <w:szCs w:val="20"/>
              </w:rPr>
            </w:pPr>
            <w:r w:rsidRPr="00F40195">
              <w:rPr>
                <w:rFonts w:cs="Times New Roman"/>
                <w:sz w:val="20"/>
                <w:szCs w:val="20"/>
              </w:rPr>
              <w:t>1 per 200 students:</w:t>
            </w:r>
            <w:r w:rsidRPr="00F40195">
              <w:rPr>
                <w:rFonts w:cs="Times New Roman"/>
                <w:iCs/>
                <w:sz w:val="20"/>
                <w:szCs w:val="20"/>
              </w:rPr>
              <w:t xml:space="preserve"> </w:t>
            </w:r>
          </w:p>
          <w:p w:rsidR="007E3F6E" w:rsidRPr="00F40195" w:rsidRDefault="007E3F6E" w:rsidP="00F40195">
            <w:pPr>
              <w:spacing w:line="240" w:lineRule="auto"/>
              <w:contextualSpacing/>
              <w:jc w:val="center"/>
              <w:rPr>
                <w:rFonts w:cs="Times New Roman"/>
                <w:i/>
                <w:sz w:val="20"/>
                <w:szCs w:val="20"/>
              </w:rPr>
            </w:pPr>
            <w:r w:rsidRPr="00F40195">
              <w:rPr>
                <w:rFonts w:cs="Times New Roman"/>
                <w:iCs/>
                <w:sz w:val="20"/>
                <w:szCs w:val="20"/>
              </w:rPr>
              <w:t>2.25</w:t>
            </w:r>
          </w:p>
        </w:tc>
        <w:tc>
          <w:tcPr>
            <w:tcW w:w="1935" w:type="dxa"/>
            <w:vAlign w:val="center"/>
          </w:tcPr>
          <w:p w:rsidR="007E3F6E" w:rsidRPr="00F40195" w:rsidRDefault="007E3F6E" w:rsidP="00F40195">
            <w:pPr>
              <w:spacing w:line="240" w:lineRule="auto"/>
              <w:contextualSpacing/>
              <w:rPr>
                <w:rFonts w:cs="Times New Roman"/>
                <w:iCs/>
                <w:sz w:val="20"/>
                <w:szCs w:val="20"/>
              </w:rPr>
            </w:pPr>
            <w:r w:rsidRPr="00F40195">
              <w:rPr>
                <w:rFonts w:cs="Times New Roman"/>
                <w:sz w:val="20"/>
                <w:szCs w:val="20"/>
              </w:rPr>
              <w:t>1 per 200 students:</w:t>
            </w:r>
            <w:r w:rsidRPr="00F40195">
              <w:rPr>
                <w:rFonts w:cs="Times New Roman"/>
                <w:iCs/>
                <w:sz w:val="20"/>
                <w:szCs w:val="20"/>
              </w:rPr>
              <w:t xml:space="preserve"> </w:t>
            </w:r>
          </w:p>
          <w:p w:rsidR="007E3F6E" w:rsidRPr="00F40195" w:rsidRDefault="007E3F6E" w:rsidP="00F40195">
            <w:pPr>
              <w:spacing w:line="240" w:lineRule="auto"/>
              <w:contextualSpacing/>
              <w:jc w:val="center"/>
              <w:rPr>
                <w:rFonts w:cs="Times New Roman"/>
                <w:iCs/>
                <w:sz w:val="20"/>
                <w:szCs w:val="20"/>
              </w:rPr>
            </w:pPr>
            <w:r w:rsidRPr="00F40195">
              <w:rPr>
                <w:rFonts w:cs="Times New Roman"/>
                <w:iCs/>
                <w:sz w:val="20"/>
                <w:szCs w:val="20"/>
              </w:rPr>
              <w:t>3.0</w:t>
            </w:r>
          </w:p>
        </w:tc>
      </w:tr>
      <w:tr w:rsidR="007E3F6E" w:rsidRPr="00F40195" w:rsidTr="00D02DCC">
        <w:trPr>
          <w:jc w:val="center"/>
        </w:trPr>
        <w:tc>
          <w:tcPr>
            <w:tcW w:w="1800" w:type="dxa"/>
            <w:vAlign w:val="center"/>
          </w:tcPr>
          <w:p w:rsidR="007E3F6E" w:rsidRPr="00F40195" w:rsidRDefault="007E3F6E" w:rsidP="00F40195">
            <w:pPr>
              <w:spacing w:line="240" w:lineRule="auto"/>
              <w:ind w:left="252" w:hanging="252"/>
              <w:contextualSpacing/>
              <w:rPr>
                <w:rFonts w:cs="Times New Roman"/>
                <w:sz w:val="20"/>
                <w:szCs w:val="20"/>
              </w:rPr>
            </w:pPr>
            <w:r w:rsidRPr="00F40195">
              <w:rPr>
                <w:rFonts w:cs="Times New Roman"/>
                <w:sz w:val="20"/>
                <w:szCs w:val="20"/>
              </w:rPr>
              <w:t>Total Core</w:t>
            </w:r>
            <w:r w:rsidR="003058DD" w:rsidRPr="00F40195">
              <w:rPr>
                <w:rFonts w:cs="Times New Roman"/>
                <w:sz w:val="20"/>
                <w:szCs w:val="20"/>
              </w:rPr>
              <w:t xml:space="preserve"> </w:t>
            </w:r>
            <w:r w:rsidR="00780E75" w:rsidRPr="00F40195">
              <w:rPr>
                <w:rFonts w:cs="Times New Roman"/>
                <w:sz w:val="20"/>
                <w:szCs w:val="20"/>
              </w:rPr>
              <w:t>Content</w:t>
            </w:r>
          </w:p>
          <w:p w:rsidR="007E3F6E" w:rsidRPr="00F40195" w:rsidRDefault="00DC40D7" w:rsidP="00F40195">
            <w:pPr>
              <w:spacing w:line="240" w:lineRule="auto"/>
              <w:contextualSpacing/>
              <w:rPr>
                <w:rFonts w:cs="Times New Roman"/>
                <w:sz w:val="20"/>
                <w:szCs w:val="20"/>
              </w:rPr>
            </w:pPr>
            <w:r w:rsidRPr="00F40195">
              <w:rPr>
                <w:rFonts w:cs="Times New Roman"/>
                <w:sz w:val="20"/>
                <w:szCs w:val="20"/>
              </w:rPr>
              <w:t>Specialist</w:t>
            </w:r>
            <w:r w:rsidR="007E3F6E" w:rsidRPr="00F40195">
              <w:rPr>
                <w:rFonts w:cs="Times New Roman"/>
                <w:sz w:val="20"/>
                <w:szCs w:val="20"/>
              </w:rPr>
              <w:t xml:space="preserve"> and </w:t>
            </w:r>
          </w:p>
          <w:p w:rsidR="007E3F6E" w:rsidRPr="00F40195" w:rsidRDefault="00780E75" w:rsidP="00F40195">
            <w:pPr>
              <w:spacing w:line="240" w:lineRule="auto"/>
              <w:ind w:left="252" w:hanging="252"/>
              <w:contextualSpacing/>
              <w:rPr>
                <w:rFonts w:cs="Times New Roman"/>
                <w:sz w:val="20"/>
                <w:szCs w:val="20"/>
              </w:rPr>
            </w:pPr>
            <w:r w:rsidRPr="00F40195">
              <w:rPr>
                <w:rFonts w:cs="Times New Roman"/>
                <w:sz w:val="20"/>
                <w:szCs w:val="20"/>
              </w:rPr>
              <w:t>Coaches</w:t>
            </w:r>
          </w:p>
        </w:tc>
        <w:tc>
          <w:tcPr>
            <w:tcW w:w="1980"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33.45</w:t>
            </w:r>
          </w:p>
        </w:tc>
        <w:tc>
          <w:tcPr>
            <w:tcW w:w="175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23.85</w:t>
            </w:r>
          </w:p>
        </w:tc>
        <w:tc>
          <w:tcPr>
            <w:tcW w:w="1935" w:type="dxa"/>
            <w:vAlign w:val="center"/>
          </w:tcPr>
          <w:p w:rsidR="007E3F6E" w:rsidRPr="00F40195" w:rsidRDefault="007E3F6E" w:rsidP="00F40195">
            <w:pPr>
              <w:spacing w:line="240" w:lineRule="auto"/>
              <w:contextualSpacing/>
              <w:jc w:val="center"/>
              <w:rPr>
                <w:rFonts w:cs="Times New Roman"/>
                <w:sz w:val="20"/>
                <w:szCs w:val="20"/>
              </w:rPr>
            </w:pPr>
            <w:r w:rsidRPr="00F40195">
              <w:rPr>
                <w:rFonts w:cs="Times New Roman"/>
                <w:sz w:val="20"/>
                <w:szCs w:val="20"/>
              </w:rPr>
              <w:t>35.0</w:t>
            </w:r>
          </w:p>
        </w:tc>
      </w:tr>
      <w:tr w:rsidR="007E3F6E" w:rsidRPr="00F40195" w:rsidTr="00D02DCC">
        <w:trPr>
          <w:jc w:val="center"/>
        </w:trPr>
        <w:tc>
          <w:tcPr>
            <w:tcW w:w="1800" w:type="dxa"/>
            <w:vAlign w:val="center"/>
          </w:tcPr>
          <w:p w:rsidR="007E3F6E" w:rsidRPr="00F40195" w:rsidRDefault="007E3F6E" w:rsidP="00F40195">
            <w:pPr>
              <w:spacing w:line="240" w:lineRule="auto"/>
              <w:ind w:left="252" w:hanging="252"/>
              <w:contextualSpacing/>
              <w:rPr>
                <w:rFonts w:cs="Times New Roman"/>
                <w:sz w:val="20"/>
                <w:szCs w:val="20"/>
              </w:rPr>
            </w:pPr>
          </w:p>
        </w:tc>
        <w:tc>
          <w:tcPr>
            <w:tcW w:w="1980" w:type="dxa"/>
            <w:vAlign w:val="center"/>
          </w:tcPr>
          <w:p w:rsidR="007E3F6E" w:rsidRPr="00F40195" w:rsidRDefault="007E3F6E" w:rsidP="00F40195">
            <w:pPr>
              <w:spacing w:line="240" w:lineRule="auto"/>
              <w:contextualSpacing/>
              <w:jc w:val="center"/>
              <w:rPr>
                <w:rFonts w:cs="Times New Roman"/>
                <w:sz w:val="20"/>
                <w:szCs w:val="20"/>
              </w:rPr>
            </w:pPr>
          </w:p>
        </w:tc>
        <w:tc>
          <w:tcPr>
            <w:tcW w:w="1755" w:type="dxa"/>
            <w:vAlign w:val="center"/>
          </w:tcPr>
          <w:p w:rsidR="007E3F6E" w:rsidRPr="00F40195" w:rsidRDefault="007E3F6E" w:rsidP="00F40195">
            <w:pPr>
              <w:spacing w:line="240" w:lineRule="auto"/>
              <w:contextualSpacing/>
              <w:jc w:val="center"/>
              <w:rPr>
                <w:rFonts w:cs="Times New Roman"/>
                <w:sz w:val="20"/>
                <w:szCs w:val="20"/>
              </w:rPr>
            </w:pPr>
          </w:p>
        </w:tc>
        <w:tc>
          <w:tcPr>
            <w:tcW w:w="1935" w:type="dxa"/>
            <w:vAlign w:val="center"/>
          </w:tcPr>
          <w:p w:rsidR="007E3F6E" w:rsidRPr="00F40195" w:rsidRDefault="007E3F6E" w:rsidP="00F40195">
            <w:pPr>
              <w:spacing w:line="240" w:lineRule="auto"/>
              <w:contextualSpacing/>
              <w:jc w:val="center"/>
              <w:rPr>
                <w:rFonts w:cs="Times New Roman"/>
                <w:sz w:val="20"/>
                <w:szCs w:val="20"/>
              </w:rPr>
            </w:pPr>
          </w:p>
        </w:tc>
      </w:tr>
      <w:tr w:rsidR="00F1753B" w:rsidRPr="00F40195" w:rsidTr="00D02DCC">
        <w:trPr>
          <w:jc w:val="center"/>
        </w:trPr>
        <w:tc>
          <w:tcPr>
            <w:tcW w:w="1800" w:type="dxa"/>
            <w:vAlign w:val="center"/>
          </w:tcPr>
          <w:p w:rsidR="00F1753B" w:rsidRPr="00F40195" w:rsidRDefault="00F1753B" w:rsidP="00F40195">
            <w:pPr>
              <w:spacing w:line="240" w:lineRule="auto"/>
              <w:ind w:left="252" w:hanging="252"/>
              <w:contextualSpacing/>
              <w:rPr>
                <w:rFonts w:cs="Times New Roman"/>
                <w:sz w:val="20"/>
                <w:szCs w:val="20"/>
              </w:rPr>
            </w:pPr>
            <w:r w:rsidRPr="00F40195">
              <w:rPr>
                <w:rFonts w:cs="Times New Roman"/>
                <w:sz w:val="20"/>
                <w:szCs w:val="20"/>
              </w:rPr>
              <w:t>Tutors (non-FRPL)</w:t>
            </w:r>
          </w:p>
        </w:tc>
        <w:tc>
          <w:tcPr>
            <w:tcW w:w="1980" w:type="dxa"/>
            <w:vAlign w:val="center"/>
          </w:tcPr>
          <w:p w:rsidR="00F1753B" w:rsidRPr="00F40195" w:rsidRDefault="00F1753B" w:rsidP="00F40195">
            <w:pPr>
              <w:spacing w:line="240" w:lineRule="auto"/>
              <w:contextualSpacing/>
              <w:jc w:val="center"/>
              <w:rPr>
                <w:rFonts w:cs="Times New Roman"/>
                <w:sz w:val="20"/>
                <w:szCs w:val="20"/>
              </w:rPr>
            </w:pPr>
            <w:r w:rsidRPr="00F40195">
              <w:rPr>
                <w:rFonts w:cs="Times New Roman"/>
                <w:sz w:val="20"/>
                <w:szCs w:val="20"/>
              </w:rPr>
              <w:t>1.0</w:t>
            </w:r>
          </w:p>
        </w:tc>
        <w:tc>
          <w:tcPr>
            <w:tcW w:w="1755" w:type="dxa"/>
            <w:vAlign w:val="center"/>
          </w:tcPr>
          <w:p w:rsidR="00F1753B" w:rsidRPr="00F40195" w:rsidRDefault="00F1753B" w:rsidP="00F40195">
            <w:pPr>
              <w:spacing w:line="240" w:lineRule="auto"/>
              <w:contextualSpacing/>
              <w:jc w:val="center"/>
              <w:rPr>
                <w:rFonts w:cs="Times New Roman"/>
                <w:sz w:val="20"/>
                <w:szCs w:val="20"/>
              </w:rPr>
            </w:pPr>
            <w:r w:rsidRPr="00F40195">
              <w:rPr>
                <w:rFonts w:cs="Times New Roman"/>
                <w:sz w:val="20"/>
                <w:szCs w:val="20"/>
              </w:rPr>
              <w:t>1.0</w:t>
            </w:r>
          </w:p>
        </w:tc>
        <w:tc>
          <w:tcPr>
            <w:tcW w:w="1935" w:type="dxa"/>
            <w:vAlign w:val="center"/>
          </w:tcPr>
          <w:p w:rsidR="00F1753B" w:rsidRPr="00F40195" w:rsidRDefault="00F1753B" w:rsidP="00F40195">
            <w:pPr>
              <w:spacing w:line="240" w:lineRule="auto"/>
              <w:contextualSpacing/>
              <w:jc w:val="center"/>
              <w:rPr>
                <w:rFonts w:cs="Times New Roman"/>
                <w:sz w:val="20"/>
                <w:szCs w:val="20"/>
              </w:rPr>
            </w:pPr>
            <w:r w:rsidRPr="00F40195">
              <w:rPr>
                <w:rFonts w:cs="Times New Roman"/>
                <w:sz w:val="20"/>
                <w:szCs w:val="20"/>
              </w:rPr>
              <w:t>1.0</w:t>
            </w:r>
          </w:p>
        </w:tc>
      </w:tr>
      <w:tr w:rsidR="00037131" w:rsidRPr="00F40195" w:rsidTr="00D02DCC">
        <w:trPr>
          <w:jc w:val="center"/>
        </w:trPr>
        <w:tc>
          <w:tcPr>
            <w:tcW w:w="1800" w:type="dxa"/>
            <w:vAlign w:val="center"/>
          </w:tcPr>
          <w:p w:rsidR="00037131" w:rsidRPr="00F40195" w:rsidRDefault="00037131" w:rsidP="00F40195">
            <w:pPr>
              <w:spacing w:line="240" w:lineRule="auto"/>
              <w:ind w:left="252" w:hanging="252"/>
              <w:contextualSpacing/>
              <w:rPr>
                <w:rFonts w:cs="Times New Roman"/>
                <w:sz w:val="20"/>
                <w:szCs w:val="20"/>
              </w:rPr>
            </w:pPr>
            <w:r w:rsidRPr="00F40195">
              <w:rPr>
                <w:rFonts w:cs="Times New Roman"/>
                <w:sz w:val="20"/>
                <w:szCs w:val="20"/>
              </w:rPr>
              <w:t>Substitute Teachers</w:t>
            </w:r>
          </w:p>
        </w:tc>
        <w:tc>
          <w:tcPr>
            <w:tcW w:w="1980" w:type="dxa"/>
            <w:vAlign w:val="center"/>
          </w:tcPr>
          <w:p w:rsidR="00037131" w:rsidRPr="00F40195" w:rsidRDefault="00037131" w:rsidP="0030434D">
            <w:pPr>
              <w:spacing w:line="240" w:lineRule="auto"/>
              <w:contextualSpacing/>
              <w:jc w:val="center"/>
              <w:rPr>
                <w:rFonts w:cs="Times New Roman"/>
                <w:sz w:val="20"/>
                <w:szCs w:val="20"/>
              </w:rPr>
            </w:pPr>
            <w:r w:rsidRPr="00F40195">
              <w:rPr>
                <w:rFonts w:cs="Times New Roman"/>
                <w:sz w:val="20"/>
                <w:szCs w:val="20"/>
              </w:rPr>
              <w:t>5% extra core content, specialist</w:t>
            </w:r>
            <w:r>
              <w:rPr>
                <w:rFonts w:cs="Times New Roman"/>
                <w:sz w:val="20"/>
                <w:szCs w:val="20"/>
              </w:rPr>
              <w:t>, SPED, Tutors</w:t>
            </w:r>
            <w:r w:rsidRPr="00F40195">
              <w:rPr>
                <w:rFonts w:cs="Times New Roman"/>
                <w:sz w:val="20"/>
                <w:szCs w:val="20"/>
              </w:rPr>
              <w:t xml:space="preserve"> &amp; instructional coaches:</w:t>
            </w:r>
          </w:p>
          <w:p w:rsidR="00037131" w:rsidRPr="00F40195" w:rsidRDefault="00860681" w:rsidP="00F40195">
            <w:pPr>
              <w:spacing w:line="240" w:lineRule="auto"/>
              <w:contextualSpacing/>
              <w:jc w:val="center"/>
              <w:rPr>
                <w:rFonts w:cs="Times New Roman"/>
                <w:sz w:val="20"/>
                <w:szCs w:val="20"/>
              </w:rPr>
            </w:pPr>
            <w:r>
              <w:rPr>
                <w:rFonts w:cs="Times New Roman"/>
                <w:sz w:val="20"/>
                <w:szCs w:val="20"/>
              </w:rPr>
              <w:t>1.72</w:t>
            </w:r>
          </w:p>
        </w:tc>
        <w:tc>
          <w:tcPr>
            <w:tcW w:w="1755" w:type="dxa"/>
            <w:vAlign w:val="center"/>
          </w:tcPr>
          <w:p w:rsidR="00037131" w:rsidRPr="00F40195" w:rsidRDefault="00037131" w:rsidP="0030434D">
            <w:pPr>
              <w:spacing w:line="240" w:lineRule="auto"/>
              <w:contextualSpacing/>
              <w:jc w:val="center"/>
              <w:rPr>
                <w:rFonts w:cs="Times New Roman"/>
                <w:sz w:val="20"/>
                <w:szCs w:val="20"/>
              </w:rPr>
            </w:pPr>
            <w:r w:rsidRPr="00F40195">
              <w:rPr>
                <w:rFonts w:cs="Times New Roman"/>
                <w:sz w:val="20"/>
                <w:szCs w:val="20"/>
              </w:rPr>
              <w:t>5% extra core content, specialist</w:t>
            </w:r>
            <w:r>
              <w:rPr>
                <w:rFonts w:cs="Times New Roman"/>
                <w:sz w:val="20"/>
                <w:szCs w:val="20"/>
              </w:rPr>
              <w:t>, SPED, Tutors</w:t>
            </w:r>
            <w:r w:rsidRPr="00F40195">
              <w:rPr>
                <w:rFonts w:cs="Times New Roman"/>
                <w:sz w:val="20"/>
                <w:szCs w:val="20"/>
              </w:rPr>
              <w:t xml:space="preserve"> &amp; instructional coaches:</w:t>
            </w:r>
          </w:p>
          <w:p w:rsidR="00037131" w:rsidRPr="00F40195" w:rsidRDefault="00860681" w:rsidP="00F40195">
            <w:pPr>
              <w:spacing w:line="240" w:lineRule="auto"/>
              <w:contextualSpacing/>
              <w:jc w:val="center"/>
              <w:rPr>
                <w:rFonts w:cs="Times New Roman"/>
                <w:sz w:val="20"/>
                <w:szCs w:val="20"/>
              </w:rPr>
            </w:pPr>
            <w:r>
              <w:rPr>
                <w:rFonts w:cs="Times New Roman"/>
                <w:sz w:val="20"/>
                <w:szCs w:val="20"/>
              </w:rPr>
              <w:t>1.24</w:t>
            </w:r>
          </w:p>
        </w:tc>
        <w:tc>
          <w:tcPr>
            <w:tcW w:w="1935" w:type="dxa"/>
            <w:vAlign w:val="center"/>
          </w:tcPr>
          <w:p w:rsidR="00037131" w:rsidRPr="00F40195" w:rsidRDefault="00037131" w:rsidP="0030434D">
            <w:pPr>
              <w:spacing w:line="240" w:lineRule="auto"/>
              <w:contextualSpacing/>
              <w:jc w:val="center"/>
              <w:rPr>
                <w:rFonts w:cs="Times New Roman"/>
                <w:sz w:val="20"/>
                <w:szCs w:val="20"/>
              </w:rPr>
            </w:pPr>
            <w:r w:rsidRPr="00F40195">
              <w:rPr>
                <w:rFonts w:cs="Times New Roman"/>
                <w:sz w:val="20"/>
                <w:szCs w:val="20"/>
              </w:rPr>
              <w:t>5% extra core content, specialist</w:t>
            </w:r>
            <w:r>
              <w:rPr>
                <w:rFonts w:cs="Times New Roman"/>
                <w:sz w:val="20"/>
                <w:szCs w:val="20"/>
              </w:rPr>
              <w:t>, SPED, Tutors</w:t>
            </w:r>
            <w:r w:rsidRPr="00F40195">
              <w:rPr>
                <w:rFonts w:cs="Times New Roman"/>
                <w:sz w:val="20"/>
                <w:szCs w:val="20"/>
              </w:rPr>
              <w:t xml:space="preserve"> &amp; instructional coaches:</w:t>
            </w:r>
          </w:p>
          <w:p w:rsidR="00037131" w:rsidRPr="00F40195" w:rsidRDefault="00860681" w:rsidP="00F40195">
            <w:pPr>
              <w:spacing w:line="240" w:lineRule="auto"/>
              <w:contextualSpacing/>
              <w:jc w:val="center"/>
              <w:rPr>
                <w:rFonts w:cs="Times New Roman"/>
                <w:sz w:val="20"/>
                <w:szCs w:val="20"/>
              </w:rPr>
            </w:pPr>
            <w:r>
              <w:rPr>
                <w:rFonts w:cs="Times New Roman"/>
                <w:sz w:val="20"/>
                <w:szCs w:val="20"/>
              </w:rPr>
              <w:t>1.80</w:t>
            </w:r>
          </w:p>
        </w:tc>
      </w:tr>
      <w:tr w:rsidR="00037131" w:rsidRPr="00F40195" w:rsidTr="00D02DCC">
        <w:trPr>
          <w:jc w:val="center"/>
        </w:trPr>
        <w:tc>
          <w:tcPr>
            <w:tcW w:w="1800" w:type="dxa"/>
            <w:vAlign w:val="center"/>
          </w:tcPr>
          <w:p w:rsidR="00037131" w:rsidRPr="00F40195" w:rsidRDefault="00037131" w:rsidP="00F40195">
            <w:pPr>
              <w:spacing w:line="240" w:lineRule="auto"/>
              <w:ind w:left="252" w:hanging="252"/>
              <w:contextualSpacing/>
              <w:rPr>
                <w:rFonts w:cs="Times New Roman"/>
                <w:sz w:val="20"/>
                <w:szCs w:val="20"/>
              </w:rPr>
            </w:pPr>
            <w:r w:rsidRPr="00F40195">
              <w:rPr>
                <w:rFonts w:cs="Times New Roman"/>
                <w:sz w:val="20"/>
                <w:szCs w:val="20"/>
              </w:rPr>
              <w:t>Counselors</w:t>
            </w:r>
          </w:p>
        </w:tc>
        <w:tc>
          <w:tcPr>
            <w:tcW w:w="1980"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1.0</w:t>
            </w:r>
          </w:p>
          <w:p w:rsidR="00037131" w:rsidRPr="00F40195" w:rsidRDefault="00037131" w:rsidP="00F40195">
            <w:pPr>
              <w:spacing w:line="240" w:lineRule="auto"/>
              <w:contextualSpacing/>
              <w:jc w:val="center"/>
              <w:rPr>
                <w:rFonts w:cs="Times New Roman"/>
                <w:sz w:val="20"/>
                <w:szCs w:val="20"/>
              </w:rPr>
            </w:pPr>
          </w:p>
        </w:tc>
        <w:tc>
          <w:tcPr>
            <w:tcW w:w="175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1.0 /250 students</w:t>
            </w:r>
          </w:p>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1.8</w:t>
            </w:r>
          </w:p>
        </w:tc>
        <w:tc>
          <w:tcPr>
            <w:tcW w:w="193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1.0 /250 students</w:t>
            </w:r>
          </w:p>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2.4</w:t>
            </w:r>
          </w:p>
        </w:tc>
      </w:tr>
      <w:tr w:rsidR="00037131" w:rsidRPr="00F40195" w:rsidTr="00D02DCC">
        <w:trPr>
          <w:jc w:val="center"/>
        </w:trPr>
        <w:tc>
          <w:tcPr>
            <w:tcW w:w="1800" w:type="dxa"/>
            <w:vAlign w:val="center"/>
          </w:tcPr>
          <w:p w:rsidR="00037131" w:rsidRPr="00F40195" w:rsidRDefault="00037131" w:rsidP="00F40195">
            <w:pPr>
              <w:spacing w:line="240" w:lineRule="auto"/>
              <w:contextualSpacing/>
              <w:rPr>
                <w:rFonts w:cs="Times New Roman"/>
                <w:sz w:val="20"/>
                <w:szCs w:val="20"/>
              </w:rPr>
            </w:pPr>
            <w:r w:rsidRPr="00F40195">
              <w:rPr>
                <w:rFonts w:cs="Times New Roman"/>
                <w:sz w:val="20"/>
                <w:szCs w:val="20"/>
              </w:rPr>
              <w:t>Nurses</w:t>
            </w:r>
          </w:p>
        </w:tc>
        <w:tc>
          <w:tcPr>
            <w:tcW w:w="1980"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1/750 students</w:t>
            </w:r>
          </w:p>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0.6</w:t>
            </w:r>
          </w:p>
        </w:tc>
        <w:tc>
          <w:tcPr>
            <w:tcW w:w="175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1/750 students</w:t>
            </w:r>
          </w:p>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0.6</w:t>
            </w:r>
          </w:p>
        </w:tc>
        <w:tc>
          <w:tcPr>
            <w:tcW w:w="193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1/750 students</w:t>
            </w:r>
          </w:p>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0.8</w:t>
            </w:r>
          </w:p>
        </w:tc>
      </w:tr>
      <w:tr w:rsidR="00037131" w:rsidRPr="00F40195" w:rsidTr="00D02DCC">
        <w:trPr>
          <w:jc w:val="center"/>
        </w:trPr>
        <w:tc>
          <w:tcPr>
            <w:tcW w:w="1800" w:type="dxa"/>
            <w:vAlign w:val="center"/>
          </w:tcPr>
          <w:p w:rsidR="00037131" w:rsidRPr="00F40195" w:rsidRDefault="00037131" w:rsidP="00F40195">
            <w:pPr>
              <w:spacing w:line="240" w:lineRule="auto"/>
              <w:ind w:left="252" w:hanging="252"/>
              <w:contextualSpacing/>
              <w:rPr>
                <w:rFonts w:cs="Times New Roman"/>
                <w:sz w:val="20"/>
                <w:szCs w:val="20"/>
              </w:rPr>
            </w:pPr>
            <w:r w:rsidRPr="00F40195">
              <w:rPr>
                <w:rFonts w:cs="Times New Roman"/>
                <w:sz w:val="20"/>
                <w:szCs w:val="20"/>
              </w:rPr>
              <w:t>Instructional Aides</w:t>
            </w:r>
          </w:p>
        </w:tc>
        <w:tc>
          <w:tcPr>
            <w:tcW w:w="1980"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0</w:t>
            </w:r>
          </w:p>
        </w:tc>
        <w:tc>
          <w:tcPr>
            <w:tcW w:w="175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0</w:t>
            </w:r>
          </w:p>
        </w:tc>
        <w:tc>
          <w:tcPr>
            <w:tcW w:w="193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0</w:t>
            </w:r>
          </w:p>
        </w:tc>
      </w:tr>
      <w:tr w:rsidR="00037131" w:rsidRPr="00F40195" w:rsidTr="00D02DCC">
        <w:trPr>
          <w:jc w:val="center"/>
        </w:trPr>
        <w:tc>
          <w:tcPr>
            <w:tcW w:w="1800" w:type="dxa"/>
            <w:vAlign w:val="center"/>
          </w:tcPr>
          <w:p w:rsidR="00037131" w:rsidRPr="00F40195" w:rsidRDefault="00037131" w:rsidP="00F40195">
            <w:pPr>
              <w:spacing w:line="240" w:lineRule="auto"/>
              <w:ind w:left="252" w:hanging="252"/>
              <w:contextualSpacing/>
              <w:rPr>
                <w:rFonts w:cs="Times New Roman"/>
                <w:sz w:val="20"/>
                <w:szCs w:val="20"/>
              </w:rPr>
            </w:pPr>
            <w:r w:rsidRPr="00F40195">
              <w:rPr>
                <w:rFonts w:cs="Times New Roman"/>
                <w:sz w:val="20"/>
                <w:szCs w:val="20"/>
              </w:rPr>
              <w:t>Supervisory Aides</w:t>
            </w:r>
          </w:p>
        </w:tc>
        <w:tc>
          <w:tcPr>
            <w:tcW w:w="1980"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2.0</w:t>
            </w:r>
          </w:p>
        </w:tc>
        <w:tc>
          <w:tcPr>
            <w:tcW w:w="175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2.0</w:t>
            </w:r>
          </w:p>
        </w:tc>
        <w:tc>
          <w:tcPr>
            <w:tcW w:w="1935" w:type="dxa"/>
            <w:vAlign w:val="center"/>
          </w:tcPr>
          <w:p w:rsidR="00037131" w:rsidRPr="00F40195" w:rsidRDefault="00037131" w:rsidP="00F40195">
            <w:pPr>
              <w:spacing w:line="240" w:lineRule="auto"/>
              <w:contextualSpacing/>
              <w:jc w:val="center"/>
              <w:rPr>
                <w:rFonts w:cs="Times New Roman"/>
                <w:sz w:val="20"/>
                <w:szCs w:val="20"/>
              </w:rPr>
            </w:pPr>
            <w:r w:rsidRPr="00F40195">
              <w:rPr>
                <w:rFonts w:cs="Times New Roman"/>
                <w:sz w:val="20"/>
                <w:szCs w:val="20"/>
              </w:rPr>
              <w:t>3.0</w:t>
            </w:r>
          </w:p>
        </w:tc>
      </w:tr>
    </w:tbl>
    <w:p w:rsidR="003D3CB8" w:rsidRPr="00F40195" w:rsidRDefault="003D3CB8" w:rsidP="00F40195">
      <w:pPr>
        <w:spacing w:line="240" w:lineRule="auto"/>
        <w:rPr>
          <w:rFonts w:cs="Times New Roman"/>
          <w:b/>
          <w:szCs w:val="24"/>
        </w:rPr>
      </w:pPr>
    </w:p>
    <w:p w:rsidR="003D3CB8" w:rsidRPr="00F40195" w:rsidRDefault="003D3CB8" w:rsidP="00F40195">
      <w:pPr>
        <w:spacing w:line="240" w:lineRule="auto"/>
        <w:rPr>
          <w:rFonts w:cs="Times New Roman"/>
          <w:b/>
          <w:szCs w:val="24"/>
        </w:rPr>
      </w:pPr>
    </w:p>
    <w:p w:rsidR="00D73E7C" w:rsidRDefault="00D73E7C">
      <w:pPr>
        <w:rPr>
          <w:rFonts w:cs="Times New Roman"/>
          <w:b/>
        </w:rPr>
      </w:pPr>
    </w:p>
    <w:p w:rsidR="003D3CB8" w:rsidRPr="00F40195" w:rsidRDefault="003D3CB8" w:rsidP="00F40195">
      <w:pPr>
        <w:spacing w:line="240" w:lineRule="auto"/>
        <w:jc w:val="center"/>
        <w:rPr>
          <w:rFonts w:cs="Times New Roman"/>
          <w:b/>
        </w:rPr>
      </w:pPr>
      <w:r w:rsidRPr="00F40195">
        <w:rPr>
          <w:rFonts w:cs="Times New Roman"/>
          <w:b/>
        </w:rPr>
        <w:t>Table 4.1 (continued)</w:t>
      </w:r>
    </w:p>
    <w:p w:rsidR="003D3CB8" w:rsidRPr="00F40195" w:rsidRDefault="003D3CB8" w:rsidP="00F40195">
      <w:pPr>
        <w:spacing w:line="240" w:lineRule="auto"/>
        <w:jc w:val="center"/>
        <w:rPr>
          <w:rFonts w:cs="Times New Roman"/>
          <w:b/>
        </w:rPr>
      </w:pPr>
      <w:r w:rsidRPr="00F40195">
        <w:rPr>
          <w:rFonts w:cs="Times New Roman"/>
          <w:b/>
        </w:rPr>
        <w:t xml:space="preserve">Kentucky </w:t>
      </w:r>
      <w:r w:rsidR="00533E51" w:rsidRPr="00F40195">
        <w:rPr>
          <w:rFonts w:cs="Times New Roman"/>
          <w:b/>
        </w:rPr>
        <w:t>Prototypical</w:t>
      </w:r>
      <w:r w:rsidRPr="00F40195">
        <w:rPr>
          <w:rFonts w:cs="Times New Roman"/>
          <w:b/>
        </w:rPr>
        <w:t xml:space="preserve"> Elementary, Middle and High School Models</w:t>
      </w:r>
    </w:p>
    <w:p w:rsidR="007E3F6E" w:rsidRPr="00F40195" w:rsidRDefault="007E3F6E" w:rsidP="00F40195">
      <w:pPr>
        <w:spacing w:line="240" w:lineRule="auto"/>
        <w:rPr>
          <w:rFonts w:cs="Times New Roman"/>
        </w:rPr>
      </w:pPr>
    </w:p>
    <w:tbl>
      <w:tblPr>
        <w:tblW w:w="747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1800"/>
        <w:gridCol w:w="1980"/>
        <w:gridCol w:w="1800"/>
        <w:gridCol w:w="1890"/>
      </w:tblGrid>
      <w:tr w:rsidR="007E3F6E" w:rsidRPr="00F40195" w:rsidTr="00B0771A">
        <w:trPr>
          <w:jc w:val="center"/>
        </w:trPr>
        <w:tc>
          <w:tcPr>
            <w:tcW w:w="1800" w:type="dxa"/>
            <w:tcBorders>
              <w:top w:val="single" w:sz="24" w:space="0" w:color="auto"/>
              <w:bottom w:val="single" w:sz="24" w:space="0" w:color="auto"/>
            </w:tcBorders>
            <w:vAlign w:val="bottom"/>
          </w:tcPr>
          <w:p w:rsidR="007E3F6E" w:rsidRPr="00F40195" w:rsidRDefault="007E3F6E" w:rsidP="00F40195">
            <w:pPr>
              <w:spacing w:line="240" w:lineRule="auto"/>
              <w:contextualSpacing/>
              <w:jc w:val="center"/>
              <w:rPr>
                <w:rFonts w:cs="Times New Roman"/>
                <w:b/>
                <w:bCs/>
                <w:sz w:val="20"/>
                <w:szCs w:val="20"/>
              </w:rPr>
            </w:pPr>
            <w:r w:rsidRPr="00F40195">
              <w:rPr>
                <w:rFonts w:cs="Times New Roman"/>
                <w:b/>
                <w:sz w:val="20"/>
                <w:szCs w:val="20"/>
              </w:rPr>
              <w:t>School Element</w:t>
            </w:r>
          </w:p>
        </w:tc>
        <w:tc>
          <w:tcPr>
            <w:tcW w:w="1980" w:type="dxa"/>
            <w:tcBorders>
              <w:top w:val="single" w:sz="24" w:space="0" w:color="auto"/>
              <w:bottom w:val="single" w:sz="24" w:space="0" w:color="auto"/>
            </w:tcBorders>
            <w:vAlign w:val="bottom"/>
          </w:tcPr>
          <w:p w:rsidR="007E3F6E" w:rsidRPr="00F40195" w:rsidRDefault="007E3F6E" w:rsidP="00F40195">
            <w:pPr>
              <w:pStyle w:val="Heading4"/>
            </w:pPr>
            <w:r w:rsidRPr="00F40195">
              <w:t>Elementary Schools</w:t>
            </w:r>
          </w:p>
        </w:tc>
        <w:tc>
          <w:tcPr>
            <w:tcW w:w="1800" w:type="dxa"/>
            <w:tcBorders>
              <w:top w:val="single" w:sz="24" w:space="0" w:color="auto"/>
              <w:bottom w:val="single" w:sz="24" w:space="0" w:color="auto"/>
            </w:tcBorders>
            <w:vAlign w:val="bottom"/>
          </w:tcPr>
          <w:p w:rsidR="007E3F6E" w:rsidRPr="00F40195" w:rsidRDefault="007E3F6E" w:rsidP="00F40195">
            <w:pPr>
              <w:spacing w:line="240" w:lineRule="auto"/>
              <w:contextualSpacing/>
              <w:jc w:val="center"/>
              <w:rPr>
                <w:rFonts w:cs="Times New Roman"/>
                <w:b/>
                <w:bCs/>
                <w:sz w:val="20"/>
                <w:szCs w:val="20"/>
              </w:rPr>
            </w:pPr>
            <w:r w:rsidRPr="00F40195">
              <w:rPr>
                <w:rFonts w:cs="Times New Roman"/>
                <w:b/>
                <w:bCs/>
                <w:sz w:val="20"/>
                <w:szCs w:val="20"/>
              </w:rPr>
              <w:t>Middle Schools</w:t>
            </w:r>
          </w:p>
        </w:tc>
        <w:tc>
          <w:tcPr>
            <w:tcW w:w="1890" w:type="dxa"/>
            <w:tcBorders>
              <w:top w:val="single" w:sz="24" w:space="0" w:color="auto"/>
              <w:bottom w:val="single" w:sz="24" w:space="0" w:color="auto"/>
            </w:tcBorders>
            <w:vAlign w:val="bottom"/>
          </w:tcPr>
          <w:p w:rsidR="007E3F6E" w:rsidRPr="00F40195" w:rsidRDefault="007E3F6E" w:rsidP="00F40195">
            <w:pPr>
              <w:spacing w:line="240" w:lineRule="auto"/>
              <w:contextualSpacing/>
              <w:jc w:val="center"/>
              <w:rPr>
                <w:rFonts w:cs="Times New Roman"/>
                <w:b/>
                <w:bCs/>
                <w:sz w:val="20"/>
                <w:szCs w:val="20"/>
              </w:rPr>
            </w:pPr>
            <w:r w:rsidRPr="00F40195">
              <w:rPr>
                <w:rFonts w:cs="Times New Roman"/>
                <w:b/>
                <w:bCs/>
                <w:sz w:val="20"/>
                <w:szCs w:val="20"/>
              </w:rPr>
              <w:t>High Schools</w:t>
            </w:r>
          </w:p>
        </w:tc>
      </w:tr>
      <w:tr w:rsidR="003D3CB8" w:rsidRPr="00F40195" w:rsidTr="00B0771A">
        <w:trPr>
          <w:jc w:val="center"/>
        </w:trPr>
        <w:tc>
          <w:tcPr>
            <w:tcW w:w="1800" w:type="dxa"/>
            <w:vAlign w:val="center"/>
          </w:tcPr>
          <w:p w:rsidR="003D3CB8" w:rsidRPr="00F40195" w:rsidRDefault="003D3CB8" w:rsidP="00F40195">
            <w:pPr>
              <w:spacing w:line="240" w:lineRule="auto"/>
              <w:rPr>
                <w:rFonts w:cs="Times New Roman"/>
              </w:rPr>
            </w:pPr>
            <w:r w:rsidRPr="00F40195">
              <w:rPr>
                <w:rFonts w:cs="Times New Roman"/>
              </w:rPr>
              <w:t>Librarian</w:t>
            </w:r>
          </w:p>
        </w:tc>
        <w:tc>
          <w:tcPr>
            <w:tcW w:w="198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1.0</w:t>
            </w:r>
          </w:p>
        </w:tc>
        <w:tc>
          <w:tcPr>
            <w:tcW w:w="180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1.0</w:t>
            </w:r>
          </w:p>
        </w:tc>
        <w:tc>
          <w:tcPr>
            <w:tcW w:w="189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 xml:space="preserve">1.0 </w:t>
            </w:r>
          </w:p>
        </w:tc>
      </w:tr>
      <w:tr w:rsidR="003D3CB8" w:rsidRPr="00F40195" w:rsidTr="00B0771A">
        <w:trPr>
          <w:jc w:val="center"/>
        </w:trPr>
        <w:tc>
          <w:tcPr>
            <w:tcW w:w="1800" w:type="dxa"/>
            <w:vAlign w:val="center"/>
          </w:tcPr>
          <w:p w:rsidR="003D3CB8" w:rsidRPr="00F40195" w:rsidRDefault="003D3CB8" w:rsidP="00F40195">
            <w:pPr>
              <w:spacing w:line="240" w:lineRule="auto"/>
              <w:rPr>
                <w:rFonts w:cs="Times New Roman"/>
              </w:rPr>
            </w:pPr>
            <w:r w:rsidRPr="00F40195">
              <w:rPr>
                <w:rFonts w:cs="Times New Roman"/>
              </w:rPr>
              <w:t>Principal</w:t>
            </w:r>
          </w:p>
        </w:tc>
        <w:tc>
          <w:tcPr>
            <w:tcW w:w="198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p>
        </w:tc>
        <w:tc>
          <w:tcPr>
            <w:tcW w:w="180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p>
        </w:tc>
        <w:tc>
          <w:tcPr>
            <w:tcW w:w="189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r w:rsidRPr="00F40195">
              <w:rPr>
                <w:rFonts w:cs="Times New Roman"/>
                <w:sz w:val="20"/>
                <w:szCs w:val="20"/>
              </w:rPr>
              <w:t xml:space="preserve"> </w:t>
            </w:r>
          </w:p>
        </w:tc>
      </w:tr>
      <w:tr w:rsidR="003D3CB8" w:rsidRPr="00F40195" w:rsidTr="00B0771A">
        <w:trPr>
          <w:jc w:val="center"/>
        </w:trPr>
        <w:tc>
          <w:tcPr>
            <w:tcW w:w="1800" w:type="dxa"/>
            <w:vAlign w:val="center"/>
          </w:tcPr>
          <w:p w:rsidR="003D3CB8" w:rsidRPr="00F40195" w:rsidRDefault="00FC5186" w:rsidP="00F40195">
            <w:pPr>
              <w:spacing w:line="240" w:lineRule="auto"/>
              <w:rPr>
                <w:rFonts w:cs="Times New Roman"/>
              </w:rPr>
            </w:pPr>
            <w:r w:rsidRPr="00F40195">
              <w:rPr>
                <w:rFonts w:cs="Times New Roman"/>
              </w:rPr>
              <w:t xml:space="preserve">Asst. Principal/ </w:t>
            </w:r>
            <w:r w:rsidR="003D3CB8" w:rsidRPr="00F40195">
              <w:rPr>
                <w:rFonts w:cs="Times New Roman"/>
              </w:rPr>
              <w:t xml:space="preserve">Program Coordinator </w:t>
            </w:r>
          </w:p>
        </w:tc>
        <w:tc>
          <w:tcPr>
            <w:tcW w:w="198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0</w:t>
            </w:r>
            <w:r w:rsidR="00727A71" w:rsidRPr="00F40195">
              <w:rPr>
                <w:rFonts w:cs="Times New Roman"/>
                <w:sz w:val="20"/>
                <w:szCs w:val="20"/>
              </w:rPr>
              <w:t>.0</w:t>
            </w:r>
          </w:p>
        </w:tc>
        <w:tc>
          <w:tcPr>
            <w:tcW w:w="180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0</w:t>
            </w:r>
            <w:r w:rsidR="00727A71" w:rsidRPr="00F40195">
              <w:rPr>
                <w:rFonts w:cs="Times New Roman"/>
                <w:sz w:val="20"/>
                <w:szCs w:val="20"/>
              </w:rPr>
              <w:t>.0</w:t>
            </w:r>
          </w:p>
        </w:tc>
        <w:tc>
          <w:tcPr>
            <w:tcW w:w="189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1</w:t>
            </w:r>
            <w:r w:rsidR="00727A71" w:rsidRPr="00F40195">
              <w:rPr>
                <w:rFonts w:cs="Times New Roman"/>
                <w:sz w:val="20"/>
                <w:szCs w:val="20"/>
              </w:rPr>
              <w:t>.0</w:t>
            </w:r>
          </w:p>
        </w:tc>
      </w:tr>
      <w:tr w:rsidR="003D3CB8" w:rsidRPr="00F40195" w:rsidTr="00B0771A">
        <w:trPr>
          <w:jc w:val="center"/>
        </w:trPr>
        <w:tc>
          <w:tcPr>
            <w:tcW w:w="1800" w:type="dxa"/>
            <w:vAlign w:val="center"/>
          </w:tcPr>
          <w:p w:rsidR="003D3CB8" w:rsidRPr="00F40195" w:rsidRDefault="003D3CB8" w:rsidP="00F40195">
            <w:pPr>
              <w:spacing w:line="240" w:lineRule="auto"/>
              <w:rPr>
                <w:rFonts w:cs="Times New Roman"/>
              </w:rPr>
            </w:pPr>
            <w:r w:rsidRPr="00F40195">
              <w:rPr>
                <w:rFonts w:cs="Times New Roman"/>
              </w:rPr>
              <w:t>School Site Secretary</w:t>
            </w:r>
          </w:p>
        </w:tc>
        <w:tc>
          <w:tcPr>
            <w:tcW w:w="198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2</w:t>
            </w:r>
            <w:r w:rsidR="00727A71" w:rsidRPr="00F40195">
              <w:rPr>
                <w:rFonts w:cs="Times New Roman"/>
                <w:sz w:val="20"/>
                <w:szCs w:val="20"/>
              </w:rPr>
              <w:t>.0</w:t>
            </w:r>
          </w:p>
        </w:tc>
        <w:tc>
          <w:tcPr>
            <w:tcW w:w="1800" w:type="dxa"/>
            <w:vAlign w:val="center"/>
          </w:tcPr>
          <w:p w:rsidR="003D3CB8" w:rsidRPr="00F40195" w:rsidRDefault="003D3CB8" w:rsidP="00F40195">
            <w:pPr>
              <w:spacing w:line="240" w:lineRule="auto"/>
              <w:contextualSpacing/>
              <w:jc w:val="center"/>
              <w:rPr>
                <w:rFonts w:cs="Times New Roman"/>
                <w:sz w:val="20"/>
                <w:szCs w:val="20"/>
              </w:rPr>
            </w:pPr>
            <w:r w:rsidRPr="00F40195">
              <w:rPr>
                <w:rFonts w:cs="Times New Roman"/>
                <w:sz w:val="20"/>
                <w:szCs w:val="20"/>
              </w:rPr>
              <w:t>2</w:t>
            </w:r>
            <w:r w:rsidR="00727A71" w:rsidRPr="00F40195">
              <w:rPr>
                <w:rFonts w:cs="Times New Roman"/>
                <w:sz w:val="20"/>
                <w:szCs w:val="20"/>
              </w:rPr>
              <w:t>.0</w:t>
            </w:r>
          </w:p>
        </w:tc>
        <w:tc>
          <w:tcPr>
            <w:tcW w:w="1890" w:type="dxa"/>
            <w:vAlign w:val="center"/>
          </w:tcPr>
          <w:p w:rsidR="003D3CB8" w:rsidRPr="00F40195" w:rsidRDefault="00727A71" w:rsidP="00F40195">
            <w:pPr>
              <w:spacing w:line="240" w:lineRule="auto"/>
              <w:contextualSpacing/>
              <w:jc w:val="center"/>
              <w:rPr>
                <w:rFonts w:cs="Times New Roman"/>
                <w:sz w:val="20"/>
                <w:szCs w:val="20"/>
              </w:rPr>
            </w:pPr>
            <w:r w:rsidRPr="00F40195">
              <w:rPr>
                <w:rFonts w:cs="Times New Roman"/>
                <w:sz w:val="20"/>
                <w:szCs w:val="20"/>
              </w:rPr>
              <w:t>3.0</w:t>
            </w:r>
          </w:p>
        </w:tc>
      </w:tr>
      <w:tr w:rsidR="003D3CB8" w:rsidRPr="00F40195" w:rsidTr="00B0771A">
        <w:trPr>
          <w:jc w:val="center"/>
        </w:trPr>
        <w:tc>
          <w:tcPr>
            <w:tcW w:w="1800" w:type="dxa"/>
            <w:vAlign w:val="center"/>
          </w:tcPr>
          <w:p w:rsidR="003D3CB8" w:rsidRPr="00F40195" w:rsidRDefault="003D3CB8" w:rsidP="00F40195">
            <w:pPr>
              <w:spacing w:line="240" w:lineRule="auto"/>
              <w:jc w:val="center"/>
              <w:rPr>
                <w:rFonts w:cs="Times New Roman"/>
              </w:rPr>
            </w:pPr>
            <w:r w:rsidRPr="00F40195">
              <w:rPr>
                <w:rFonts w:cs="Times New Roman"/>
                <w:b/>
              </w:rPr>
              <w:t xml:space="preserve">Dollar per Pupil </w:t>
            </w:r>
            <w:r w:rsidR="00A8330E" w:rsidRPr="00F40195">
              <w:rPr>
                <w:rFonts w:cs="Times New Roman"/>
                <w:b/>
              </w:rPr>
              <w:t>Resources</w:t>
            </w:r>
          </w:p>
        </w:tc>
        <w:tc>
          <w:tcPr>
            <w:tcW w:w="1980" w:type="dxa"/>
            <w:vAlign w:val="center"/>
          </w:tcPr>
          <w:p w:rsidR="003D3CB8" w:rsidRPr="00F40195" w:rsidRDefault="003D3CB8" w:rsidP="00F40195">
            <w:pPr>
              <w:spacing w:line="240" w:lineRule="auto"/>
              <w:contextualSpacing/>
              <w:jc w:val="center"/>
              <w:rPr>
                <w:rFonts w:cs="Times New Roman"/>
                <w:sz w:val="20"/>
                <w:szCs w:val="20"/>
              </w:rPr>
            </w:pPr>
          </w:p>
        </w:tc>
        <w:tc>
          <w:tcPr>
            <w:tcW w:w="1800" w:type="dxa"/>
            <w:vAlign w:val="center"/>
          </w:tcPr>
          <w:p w:rsidR="003D3CB8" w:rsidRPr="00F40195" w:rsidRDefault="003D3CB8" w:rsidP="00F40195">
            <w:pPr>
              <w:spacing w:line="240" w:lineRule="auto"/>
              <w:contextualSpacing/>
              <w:jc w:val="center"/>
              <w:rPr>
                <w:rFonts w:cs="Times New Roman"/>
                <w:sz w:val="20"/>
                <w:szCs w:val="20"/>
              </w:rPr>
            </w:pPr>
          </w:p>
        </w:tc>
        <w:tc>
          <w:tcPr>
            <w:tcW w:w="1890" w:type="dxa"/>
            <w:vAlign w:val="center"/>
          </w:tcPr>
          <w:p w:rsidR="003D3CB8" w:rsidRPr="00F40195" w:rsidRDefault="003D3CB8" w:rsidP="00F40195">
            <w:pPr>
              <w:spacing w:line="240" w:lineRule="auto"/>
              <w:contextualSpacing/>
              <w:jc w:val="center"/>
              <w:rPr>
                <w:rFonts w:cs="Times New Roman"/>
                <w:sz w:val="20"/>
                <w:szCs w:val="20"/>
              </w:rPr>
            </w:pPr>
          </w:p>
        </w:tc>
      </w:tr>
      <w:tr w:rsidR="003622A5" w:rsidRPr="00F40195" w:rsidTr="00DC5525">
        <w:trPr>
          <w:jc w:val="center"/>
        </w:trPr>
        <w:tc>
          <w:tcPr>
            <w:tcW w:w="1800" w:type="dxa"/>
            <w:vAlign w:val="center"/>
          </w:tcPr>
          <w:p w:rsidR="003622A5" w:rsidRPr="00F40195" w:rsidRDefault="003622A5" w:rsidP="00F40195">
            <w:pPr>
              <w:spacing w:line="240" w:lineRule="auto"/>
              <w:ind w:hanging="18"/>
              <w:contextualSpacing/>
              <w:rPr>
                <w:rFonts w:cs="Times New Roman"/>
                <w:sz w:val="20"/>
                <w:szCs w:val="20"/>
              </w:rPr>
            </w:pPr>
            <w:r w:rsidRPr="00F40195">
              <w:rPr>
                <w:rFonts w:cs="Times New Roman"/>
                <w:sz w:val="20"/>
                <w:szCs w:val="20"/>
              </w:rPr>
              <w:t>Additional Professional development</w:t>
            </w:r>
          </w:p>
        </w:tc>
        <w:tc>
          <w:tcPr>
            <w:tcW w:w="5670" w:type="dxa"/>
            <w:gridSpan w:val="3"/>
            <w:vAlign w:val="center"/>
          </w:tcPr>
          <w:p w:rsidR="003622A5" w:rsidRPr="00F40195" w:rsidRDefault="003622A5" w:rsidP="00F40195">
            <w:pPr>
              <w:spacing w:line="240" w:lineRule="auto"/>
              <w:contextualSpacing/>
              <w:jc w:val="center"/>
              <w:rPr>
                <w:rFonts w:cs="Times New Roman"/>
                <w:sz w:val="20"/>
                <w:szCs w:val="20"/>
              </w:rPr>
            </w:pPr>
            <w:r w:rsidRPr="00F40195">
              <w:rPr>
                <w:rFonts w:cs="Times New Roman"/>
                <w:sz w:val="20"/>
                <w:szCs w:val="20"/>
              </w:rPr>
              <w:t>;</w:t>
            </w:r>
          </w:p>
          <w:p w:rsidR="003622A5" w:rsidRPr="00F40195" w:rsidRDefault="003622A5" w:rsidP="00F40195">
            <w:pPr>
              <w:spacing w:line="240" w:lineRule="auto"/>
              <w:contextualSpacing/>
              <w:jc w:val="center"/>
              <w:rPr>
                <w:rFonts w:cs="Times New Roman"/>
                <w:sz w:val="20"/>
                <w:szCs w:val="20"/>
              </w:rPr>
            </w:pPr>
            <w:r w:rsidRPr="00F40195">
              <w:rPr>
                <w:rFonts w:cs="Times New Roman"/>
                <w:sz w:val="20"/>
                <w:szCs w:val="20"/>
              </w:rPr>
              <w:t>$100/student, in addition to extra PD days and Inst</w:t>
            </w:r>
            <w:r w:rsidR="00B27872">
              <w:rPr>
                <w:rFonts w:cs="Times New Roman"/>
                <w:sz w:val="20"/>
                <w:szCs w:val="20"/>
              </w:rPr>
              <w:t>ructional</w:t>
            </w:r>
            <w:r w:rsidRPr="00F40195">
              <w:rPr>
                <w:rFonts w:cs="Times New Roman"/>
                <w:sz w:val="20"/>
                <w:szCs w:val="20"/>
              </w:rPr>
              <w:t xml:space="preserve"> Coach resources, above</w:t>
            </w:r>
          </w:p>
          <w:p w:rsidR="003622A5" w:rsidRPr="00F40195" w:rsidRDefault="003622A5" w:rsidP="00F40195">
            <w:pPr>
              <w:spacing w:line="240" w:lineRule="auto"/>
              <w:contextualSpacing/>
              <w:jc w:val="center"/>
              <w:rPr>
                <w:rFonts w:cs="Times New Roman"/>
                <w:sz w:val="20"/>
                <w:szCs w:val="20"/>
              </w:rPr>
            </w:pPr>
          </w:p>
        </w:tc>
      </w:tr>
      <w:tr w:rsidR="009174F4" w:rsidRPr="00F40195" w:rsidTr="00B0771A">
        <w:trPr>
          <w:jc w:val="center"/>
        </w:trPr>
        <w:tc>
          <w:tcPr>
            <w:tcW w:w="1800" w:type="dxa"/>
            <w:vAlign w:val="center"/>
          </w:tcPr>
          <w:p w:rsidR="009174F4" w:rsidRPr="00F40195" w:rsidRDefault="009174F4" w:rsidP="00F40195">
            <w:pPr>
              <w:spacing w:line="240" w:lineRule="auto"/>
              <w:contextualSpacing/>
              <w:rPr>
                <w:rFonts w:cs="Times New Roman"/>
                <w:sz w:val="20"/>
                <w:szCs w:val="20"/>
              </w:rPr>
            </w:pPr>
            <w:r w:rsidRPr="00F40195">
              <w:rPr>
                <w:rFonts w:cs="Times New Roman"/>
                <w:sz w:val="20"/>
                <w:szCs w:val="20"/>
              </w:rPr>
              <w:t>Technology</w:t>
            </w:r>
          </w:p>
          <w:p w:rsidR="009174F4" w:rsidRPr="00F40195" w:rsidRDefault="009174F4" w:rsidP="00F40195">
            <w:pPr>
              <w:spacing w:line="240" w:lineRule="auto"/>
              <w:ind w:hanging="18"/>
              <w:contextualSpacing/>
              <w:rPr>
                <w:rFonts w:cs="Times New Roman"/>
                <w:sz w:val="20"/>
                <w:szCs w:val="20"/>
              </w:rPr>
            </w:pPr>
            <w:r w:rsidRPr="00F40195">
              <w:rPr>
                <w:rFonts w:cs="Times New Roman"/>
                <w:sz w:val="20"/>
                <w:szCs w:val="20"/>
              </w:rPr>
              <w:t>Equipment</w:t>
            </w:r>
          </w:p>
        </w:tc>
        <w:tc>
          <w:tcPr>
            <w:tcW w:w="198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c>
          <w:tcPr>
            <w:tcW w:w="180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c>
          <w:tcPr>
            <w:tcW w:w="189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r>
      <w:tr w:rsidR="009174F4" w:rsidRPr="00F40195" w:rsidTr="00B0771A">
        <w:trPr>
          <w:jc w:val="center"/>
        </w:trPr>
        <w:tc>
          <w:tcPr>
            <w:tcW w:w="1800" w:type="dxa"/>
            <w:vAlign w:val="center"/>
          </w:tcPr>
          <w:p w:rsidR="009174F4" w:rsidRPr="00F40195" w:rsidRDefault="009174F4" w:rsidP="00F40195">
            <w:pPr>
              <w:spacing w:line="240" w:lineRule="auto"/>
              <w:contextualSpacing/>
              <w:rPr>
                <w:rFonts w:cs="Times New Roman"/>
                <w:sz w:val="20"/>
                <w:szCs w:val="20"/>
              </w:rPr>
            </w:pPr>
            <w:r w:rsidRPr="00F40195">
              <w:rPr>
                <w:rFonts w:cs="Times New Roman"/>
                <w:sz w:val="20"/>
                <w:szCs w:val="20"/>
              </w:rPr>
              <w:t xml:space="preserve">Instructional Materials including Library Resources </w:t>
            </w:r>
          </w:p>
        </w:tc>
        <w:tc>
          <w:tcPr>
            <w:tcW w:w="198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$140/student</w:t>
            </w:r>
          </w:p>
        </w:tc>
        <w:tc>
          <w:tcPr>
            <w:tcW w:w="180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$140/student</w:t>
            </w:r>
          </w:p>
        </w:tc>
        <w:tc>
          <w:tcPr>
            <w:tcW w:w="189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$175/student</w:t>
            </w:r>
          </w:p>
        </w:tc>
      </w:tr>
      <w:tr w:rsidR="009174F4" w:rsidRPr="00F40195" w:rsidTr="00B0771A">
        <w:trPr>
          <w:jc w:val="center"/>
        </w:trPr>
        <w:tc>
          <w:tcPr>
            <w:tcW w:w="1800" w:type="dxa"/>
            <w:vAlign w:val="center"/>
          </w:tcPr>
          <w:p w:rsidR="009174F4" w:rsidRPr="00F40195" w:rsidRDefault="009174F4" w:rsidP="00F40195">
            <w:pPr>
              <w:spacing w:line="240" w:lineRule="auto"/>
              <w:contextualSpacing/>
              <w:rPr>
                <w:rFonts w:cs="Times New Roman"/>
                <w:sz w:val="20"/>
                <w:szCs w:val="20"/>
              </w:rPr>
            </w:pPr>
            <w:r w:rsidRPr="00F40195">
              <w:rPr>
                <w:rFonts w:cs="Times New Roman"/>
                <w:sz w:val="20"/>
                <w:szCs w:val="20"/>
              </w:rPr>
              <w:t xml:space="preserve">Short Cycle Formative Assessments </w:t>
            </w:r>
          </w:p>
        </w:tc>
        <w:tc>
          <w:tcPr>
            <w:tcW w:w="1980" w:type="dxa"/>
            <w:vAlign w:val="center"/>
          </w:tcPr>
          <w:p w:rsidR="009174F4" w:rsidRPr="00F40195" w:rsidRDefault="009174F4" w:rsidP="00F40195">
            <w:pPr>
              <w:spacing w:line="240" w:lineRule="auto"/>
              <w:contextualSpacing/>
              <w:jc w:val="center"/>
              <w:rPr>
                <w:rFonts w:cs="Times New Roman"/>
                <w:iCs/>
                <w:sz w:val="20"/>
                <w:szCs w:val="20"/>
              </w:rPr>
            </w:pPr>
            <w:r w:rsidRPr="00F40195">
              <w:rPr>
                <w:rFonts w:cs="Times New Roman"/>
                <w:sz w:val="20"/>
                <w:szCs w:val="20"/>
              </w:rPr>
              <w:t>$25/student</w:t>
            </w:r>
          </w:p>
        </w:tc>
        <w:tc>
          <w:tcPr>
            <w:tcW w:w="180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$25/student</w:t>
            </w:r>
          </w:p>
        </w:tc>
        <w:tc>
          <w:tcPr>
            <w:tcW w:w="189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$25/student</w:t>
            </w:r>
          </w:p>
        </w:tc>
      </w:tr>
      <w:tr w:rsidR="009174F4" w:rsidRPr="00F40195" w:rsidTr="00B0771A">
        <w:trPr>
          <w:jc w:val="center"/>
        </w:trPr>
        <w:tc>
          <w:tcPr>
            <w:tcW w:w="1800" w:type="dxa"/>
            <w:vAlign w:val="center"/>
          </w:tcPr>
          <w:p w:rsidR="009174F4" w:rsidRPr="00F40195" w:rsidRDefault="009174F4" w:rsidP="00F40195">
            <w:pPr>
              <w:spacing w:line="240" w:lineRule="auto"/>
              <w:contextualSpacing/>
              <w:rPr>
                <w:rFonts w:cs="Times New Roman"/>
                <w:sz w:val="20"/>
                <w:szCs w:val="20"/>
              </w:rPr>
            </w:pPr>
            <w:r w:rsidRPr="00F40195">
              <w:rPr>
                <w:rFonts w:cs="Times New Roman"/>
                <w:sz w:val="20"/>
                <w:szCs w:val="20"/>
              </w:rPr>
              <w:t>Student Activities</w:t>
            </w:r>
          </w:p>
        </w:tc>
        <w:tc>
          <w:tcPr>
            <w:tcW w:w="1980" w:type="dxa"/>
            <w:vAlign w:val="center"/>
          </w:tcPr>
          <w:p w:rsidR="009174F4" w:rsidRPr="00F40195" w:rsidRDefault="009174F4" w:rsidP="00F40195">
            <w:pPr>
              <w:spacing w:line="240" w:lineRule="auto"/>
              <w:contextualSpacing/>
              <w:jc w:val="center"/>
              <w:rPr>
                <w:rFonts w:cs="Times New Roman"/>
                <w:iCs/>
                <w:sz w:val="20"/>
                <w:szCs w:val="20"/>
              </w:rPr>
            </w:pPr>
            <w:r w:rsidRPr="00F40195">
              <w:rPr>
                <w:rFonts w:cs="Times New Roman"/>
                <w:iCs/>
                <w:sz w:val="20"/>
                <w:szCs w:val="20"/>
              </w:rPr>
              <w:t>$250/student</w:t>
            </w:r>
          </w:p>
        </w:tc>
        <w:tc>
          <w:tcPr>
            <w:tcW w:w="180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c>
          <w:tcPr>
            <w:tcW w:w="1890" w:type="dxa"/>
            <w:vAlign w:val="center"/>
          </w:tcPr>
          <w:p w:rsidR="009174F4" w:rsidRPr="00F40195" w:rsidRDefault="009174F4" w:rsidP="00F40195">
            <w:pPr>
              <w:spacing w:line="240" w:lineRule="auto"/>
              <w:contextualSpacing/>
              <w:jc w:val="center"/>
              <w:rPr>
                <w:rFonts w:cs="Times New Roman"/>
                <w:sz w:val="20"/>
                <w:szCs w:val="20"/>
              </w:rPr>
            </w:pPr>
            <w:r w:rsidRPr="00F40195">
              <w:rPr>
                <w:rFonts w:cs="Times New Roman"/>
                <w:sz w:val="20"/>
                <w:szCs w:val="20"/>
              </w:rPr>
              <w:t>$250/student</w:t>
            </w:r>
          </w:p>
        </w:tc>
      </w:tr>
      <w:tr w:rsidR="009174F4" w:rsidRPr="00F40195" w:rsidTr="00B0771A">
        <w:trPr>
          <w:jc w:val="center"/>
        </w:trPr>
        <w:tc>
          <w:tcPr>
            <w:tcW w:w="1800" w:type="dxa"/>
            <w:tcBorders>
              <w:bottom w:val="single" w:sz="24" w:space="0" w:color="auto"/>
            </w:tcBorders>
            <w:vAlign w:val="center"/>
          </w:tcPr>
          <w:p w:rsidR="009174F4" w:rsidRPr="00F40195" w:rsidRDefault="009174F4" w:rsidP="00F40195">
            <w:pPr>
              <w:spacing w:line="240" w:lineRule="auto"/>
              <w:contextualSpacing/>
              <w:rPr>
                <w:rFonts w:cs="Times New Roman"/>
                <w:sz w:val="20"/>
                <w:szCs w:val="20"/>
              </w:rPr>
            </w:pPr>
            <w:r w:rsidRPr="00F40195">
              <w:rPr>
                <w:rFonts w:cs="Times New Roman"/>
                <w:sz w:val="20"/>
                <w:szCs w:val="20"/>
              </w:rPr>
              <w:t>Gifted/talented students</w:t>
            </w:r>
          </w:p>
        </w:tc>
        <w:tc>
          <w:tcPr>
            <w:tcW w:w="1980" w:type="dxa"/>
            <w:tcBorders>
              <w:bottom w:val="single" w:sz="24" w:space="0" w:color="auto"/>
            </w:tcBorders>
            <w:vAlign w:val="center"/>
          </w:tcPr>
          <w:p w:rsidR="009174F4" w:rsidRPr="00F40195" w:rsidRDefault="009174F4" w:rsidP="00F40195">
            <w:pPr>
              <w:spacing w:line="240" w:lineRule="auto"/>
              <w:contextualSpacing/>
              <w:jc w:val="center"/>
              <w:rPr>
                <w:rFonts w:cs="Times New Roman"/>
                <w:iCs/>
                <w:sz w:val="20"/>
                <w:szCs w:val="20"/>
              </w:rPr>
            </w:pPr>
            <w:r w:rsidRPr="00F40195">
              <w:rPr>
                <w:rFonts w:cs="Times New Roman"/>
                <w:iCs/>
                <w:sz w:val="20"/>
                <w:szCs w:val="20"/>
              </w:rPr>
              <w:t>$25/student (based on total school students)</w:t>
            </w:r>
          </w:p>
        </w:tc>
        <w:tc>
          <w:tcPr>
            <w:tcW w:w="1800" w:type="dxa"/>
            <w:tcBorders>
              <w:bottom w:val="single" w:sz="24" w:space="0" w:color="auto"/>
            </w:tcBorders>
            <w:vAlign w:val="center"/>
          </w:tcPr>
          <w:p w:rsidR="009174F4" w:rsidRPr="00F40195" w:rsidRDefault="009174F4" w:rsidP="00F40195">
            <w:pPr>
              <w:spacing w:line="240" w:lineRule="auto"/>
              <w:contextualSpacing/>
              <w:jc w:val="center"/>
              <w:rPr>
                <w:rFonts w:cs="Times New Roman"/>
                <w:i/>
                <w:sz w:val="20"/>
                <w:szCs w:val="20"/>
              </w:rPr>
            </w:pPr>
            <w:r w:rsidRPr="00F40195">
              <w:rPr>
                <w:rFonts w:cs="Times New Roman"/>
                <w:iCs/>
                <w:sz w:val="20"/>
                <w:szCs w:val="20"/>
              </w:rPr>
              <w:t xml:space="preserve">$25/student (based on total school students) </w:t>
            </w:r>
          </w:p>
        </w:tc>
        <w:tc>
          <w:tcPr>
            <w:tcW w:w="1890" w:type="dxa"/>
            <w:tcBorders>
              <w:bottom w:val="single" w:sz="24" w:space="0" w:color="auto"/>
            </w:tcBorders>
            <w:vAlign w:val="center"/>
          </w:tcPr>
          <w:p w:rsidR="009174F4" w:rsidRPr="00F40195" w:rsidRDefault="009174F4" w:rsidP="00F40195">
            <w:pPr>
              <w:spacing w:line="240" w:lineRule="auto"/>
              <w:contextualSpacing/>
              <w:jc w:val="center"/>
              <w:rPr>
                <w:rFonts w:cs="Times New Roman"/>
                <w:i/>
                <w:sz w:val="20"/>
                <w:szCs w:val="20"/>
              </w:rPr>
            </w:pPr>
            <w:r w:rsidRPr="00F40195">
              <w:rPr>
                <w:rFonts w:cs="Times New Roman"/>
                <w:iCs/>
                <w:sz w:val="20"/>
                <w:szCs w:val="20"/>
              </w:rPr>
              <w:t xml:space="preserve">$25/student (based on total school  students) </w:t>
            </w:r>
          </w:p>
        </w:tc>
      </w:tr>
    </w:tbl>
    <w:p w:rsidR="007E3F6E" w:rsidRPr="00F40195" w:rsidRDefault="007E3F6E" w:rsidP="00F40195">
      <w:pPr>
        <w:spacing w:line="240" w:lineRule="auto"/>
        <w:rPr>
          <w:rFonts w:cs="Times New Roman"/>
        </w:rPr>
      </w:pPr>
    </w:p>
    <w:p w:rsidR="003D3CB8" w:rsidRPr="00F40195" w:rsidRDefault="003D3CB8" w:rsidP="00F40195">
      <w:pPr>
        <w:spacing w:line="240" w:lineRule="auto"/>
        <w:rPr>
          <w:rFonts w:cs="Times New Roman"/>
          <w:b/>
        </w:rPr>
      </w:pPr>
    </w:p>
    <w:p w:rsidR="00D73E7C" w:rsidRDefault="00D73E7C">
      <w:pPr>
        <w:rPr>
          <w:rFonts w:cs="Times New Roman"/>
          <w:b/>
        </w:rPr>
      </w:pPr>
      <w:r>
        <w:rPr>
          <w:rFonts w:cs="Times New Roman"/>
          <w:b/>
        </w:rPr>
        <w:br w:type="page"/>
      </w:r>
    </w:p>
    <w:p w:rsidR="00D73E7C" w:rsidRDefault="00247291" w:rsidP="00F40195">
      <w:pPr>
        <w:spacing w:line="240" w:lineRule="auto"/>
        <w:jc w:val="center"/>
        <w:rPr>
          <w:rFonts w:cs="Times New Roman"/>
          <w:b/>
        </w:rPr>
      </w:pPr>
      <w:r w:rsidRPr="00F40195">
        <w:rPr>
          <w:rFonts w:cs="Times New Roman"/>
          <w:b/>
        </w:rPr>
        <w:lastRenderedPageBreak/>
        <w:t>Table 4.2</w:t>
      </w:r>
    </w:p>
    <w:p w:rsidR="00795E54" w:rsidRPr="00F40195" w:rsidRDefault="00795E54" w:rsidP="00F40195">
      <w:pPr>
        <w:spacing w:line="240" w:lineRule="auto"/>
        <w:jc w:val="center"/>
        <w:rPr>
          <w:rFonts w:cs="Times New Roman"/>
          <w:b/>
        </w:rPr>
      </w:pPr>
      <w:r w:rsidRPr="00F40195">
        <w:rPr>
          <w:rFonts w:cs="Times New Roman"/>
          <w:b/>
        </w:rPr>
        <w:t xml:space="preserve">EB School Staffing and </w:t>
      </w:r>
      <w:r w:rsidR="0024093A" w:rsidRPr="00F40195">
        <w:rPr>
          <w:rFonts w:cs="Times New Roman"/>
          <w:b/>
        </w:rPr>
        <w:t xml:space="preserve">Resource Models for K-12 </w:t>
      </w:r>
      <w:r w:rsidR="00E6354D" w:rsidRPr="00F40195">
        <w:rPr>
          <w:rFonts w:cs="Times New Roman"/>
          <w:b/>
        </w:rPr>
        <w:t>E</w:t>
      </w:r>
      <w:r w:rsidR="00D73E7C">
        <w:rPr>
          <w:rFonts w:cs="Times New Roman"/>
          <w:b/>
        </w:rPr>
        <w:t xml:space="preserve">nglish </w:t>
      </w:r>
      <w:r w:rsidR="00E6354D" w:rsidRPr="00F40195">
        <w:rPr>
          <w:rFonts w:cs="Times New Roman"/>
          <w:b/>
        </w:rPr>
        <w:t>L</w:t>
      </w:r>
      <w:r w:rsidR="00D73E7C">
        <w:rPr>
          <w:rFonts w:cs="Times New Roman"/>
          <w:b/>
        </w:rPr>
        <w:t>earners</w:t>
      </w:r>
      <w:r w:rsidR="0024093A" w:rsidRPr="00F40195">
        <w:rPr>
          <w:rFonts w:cs="Times New Roman"/>
          <w:b/>
        </w:rPr>
        <w:t>, Low Income</w:t>
      </w:r>
      <w:r w:rsidR="00D73E7C">
        <w:rPr>
          <w:rFonts w:cs="Times New Roman"/>
          <w:b/>
        </w:rPr>
        <w:t xml:space="preserve"> Students</w:t>
      </w:r>
      <w:r w:rsidRPr="00F40195">
        <w:rPr>
          <w:rFonts w:cs="Times New Roman"/>
          <w:b/>
        </w:rPr>
        <w:t>, Special Education</w:t>
      </w:r>
      <w:r w:rsidR="00D73E7C">
        <w:rPr>
          <w:rFonts w:cs="Times New Roman"/>
          <w:b/>
        </w:rPr>
        <w:t>,</w:t>
      </w:r>
      <w:r w:rsidRPr="00F40195">
        <w:rPr>
          <w:rFonts w:cs="Times New Roman"/>
          <w:b/>
        </w:rPr>
        <w:t xml:space="preserve"> and Career and Technical Education</w:t>
      </w:r>
      <w:r w:rsidR="00780E75" w:rsidRPr="00F40195">
        <w:rPr>
          <w:rFonts w:cs="Times New Roman"/>
          <w:b/>
        </w:rPr>
        <w:t xml:space="preserve"> (CTE)</w:t>
      </w:r>
      <w:r w:rsidRPr="00F40195">
        <w:rPr>
          <w:rFonts w:cs="Times New Roman"/>
          <w:b/>
        </w:rPr>
        <w:t xml:space="preserve"> Programs</w:t>
      </w:r>
    </w:p>
    <w:p w:rsidR="00795E54" w:rsidRPr="00F40195" w:rsidRDefault="00795E54" w:rsidP="00F40195">
      <w:pPr>
        <w:spacing w:line="240" w:lineRule="auto"/>
        <w:contextualSpacing/>
        <w:rPr>
          <w:rFonts w:cs="Times New Roman"/>
        </w:rPr>
      </w:pPr>
    </w:p>
    <w:tbl>
      <w:tblPr>
        <w:tblW w:w="8415"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3870"/>
        <w:gridCol w:w="4545"/>
      </w:tblGrid>
      <w:tr w:rsidR="00795E54" w:rsidRPr="00F40195" w:rsidTr="00A763C9">
        <w:trPr>
          <w:jc w:val="center"/>
        </w:trPr>
        <w:tc>
          <w:tcPr>
            <w:tcW w:w="3870" w:type="dxa"/>
            <w:tcBorders>
              <w:top w:val="single" w:sz="24" w:space="0" w:color="auto"/>
              <w:bottom w:val="single" w:sz="24" w:space="0" w:color="auto"/>
            </w:tcBorders>
          </w:tcPr>
          <w:p w:rsidR="00795E54" w:rsidRPr="00F40195" w:rsidRDefault="00795E54" w:rsidP="00F40195">
            <w:pPr>
              <w:spacing w:line="240" w:lineRule="auto"/>
              <w:contextualSpacing/>
              <w:jc w:val="center"/>
              <w:rPr>
                <w:rFonts w:cs="Times New Roman"/>
              </w:rPr>
            </w:pPr>
            <w:r w:rsidRPr="00F40195">
              <w:rPr>
                <w:rFonts w:cs="Times New Roman"/>
                <w:b/>
              </w:rPr>
              <w:t>School Element</w:t>
            </w:r>
          </w:p>
        </w:tc>
        <w:tc>
          <w:tcPr>
            <w:tcW w:w="4545" w:type="dxa"/>
            <w:tcBorders>
              <w:top w:val="single" w:sz="24" w:space="0" w:color="auto"/>
              <w:bottom w:val="single" w:sz="24" w:space="0" w:color="auto"/>
            </w:tcBorders>
          </w:tcPr>
          <w:p w:rsidR="00795E54" w:rsidRPr="00F40195" w:rsidRDefault="00795E54" w:rsidP="00F40195">
            <w:pPr>
              <w:spacing w:line="240" w:lineRule="auto"/>
              <w:contextualSpacing/>
              <w:jc w:val="center"/>
              <w:rPr>
                <w:rFonts w:cs="Times New Roman"/>
                <w:iCs/>
              </w:rPr>
            </w:pPr>
            <w:r w:rsidRPr="00F40195">
              <w:rPr>
                <w:rFonts w:cs="Times New Roman"/>
                <w:iCs/>
              </w:rPr>
              <w:t>Resources</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E6354D" w:rsidP="00F40195">
            <w:pPr>
              <w:spacing w:line="240" w:lineRule="auto"/>
              <w:jc w:val="center"/>
              <w:rPr>
                <w:rFonts w:cs="Times New Roman"/>
              </w:rPr>
            </w:pPr>
            <w:r w:rsidRPr="00F40195">
              <w:rPr>
                <w:rFonts w:cs="Times New Roman"/>
                <w:b/>
              </w:rPr>
              <w:t>E</w:t>
            </w:r>
            <w:r w:rsidR="00D73E7C">
              <w:rPr>
                <w:rFonts w:cs="Times New Roman"/>
                <w:b/>
              </w:rPr>
              <w:t xml:space="preserve">nglish </w:t>
            </w:r>
            <w:r w:rsidRPr="00F40195">
              <w:rPr>
                <w:rFonts w:cs="Times New Roman"/>
                <w:b/>
              </w:rPr>
              <w:t>L</w:t>
            </w:r>
            <w:r w:rsidR="00D73E7C">
              <w:rPr>
                <w:rFonts w:cs="Times New Roman"/>
                <w:b/>
              </w:rPr>
              <w:t>earners</w:t>
            </w:r>
          </w:p>
        </w:tc>
        <w:tc>
          <w:tcPr>
            <w:tcW w:w="4545" w:type="dxa"/>
            <w:vAlign w:val="center"/>
          </w:tcPr>
          <w:p w:rsidR="00795E54" w:rsidRPr="00F40195" w:rsidRDefault="00795E54" w:rsidP="00F40195">
            <w:pPr>
              <w:spacing w:line="240" w:lineRule="auto"/>
              <w:contextualSpacing/>
              <w:jc w:val="center"/>
              <w:rPr>
                <w:rFonts w:cs="Times New Roman"/>
              </w:rPr>
            </w:pPr>
          </w:p>
        </w:tc>
      </w:tr>
      <w:tr w:rsidR="00795E54" w:rsidRPr="00F40195" w:rsidTr="00A763C9">
        <w:trPr>
          <w:jc w:val="center"/>
        </w:trPr>
        <w:tc>
          <w:tcPr>
            <w:tcW w:w="3870" w:type="dxa"/>
            <w:vAlign w:val="center"/>
          </w:tcPr>
          <w:p w:rsidR="00795E54" w:rsidRPr="00F40195" w:rsidRDefault="000B43BD" w:rsidP="00F40195">
            <w:pPr>
              <w:spacing w:line="240" w:lineRule="auto"/>
              <w:ind w:left="432" w:hanging="432"/>
              <w:contextualSpacing/>
              <w:rPr>
                <w:rFonts w:cs="Times New Roman"/>
              </w:rPr>
            </w:pPr>
            <w:r w:rsidRPr="00F40195">
              <w:rPr>
                <w:rFonts w:cs="Times New Roman"/>
              </w:rPr>
              <w:t>EL</w:t>
            </w:r>
            <w:r w:rsidR="00795E54" w:rsidRPr="00F40195">
              <w:rPr>
                <w:rFonts w:cs="Times New Roman"/>
              </w:rPr>
              <w:t xml:space="preserve"> Teachers</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 xml:space="preserve">1 teacher for every 100 </w:t>
            </w:r>
            <w:r w:rsidR="000B43BD" w:rsidRPr="00F40195">
              <w:rPr>
                <w:rFonts w:cs="Times New Roman"/>
              </w:rPr>
              <w:t>EL</w:t>
            </w:r>
            <w:r w:rsidRPr="00F40195">
              <w:rPr>
                <w:rFonts w:cs="Times New Roman"/>
              </w:rPr>
              <w:t xml:space="preserve"> students </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Substitutes</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5 percent of teacher positions</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Professional Development</w:t>
            </w:r>
          </w:p>
        </w:tc>
        <w:tc>
          <w:tcPr>
            <w:tcW w:w="4545" w:type="dxa"/>
            <w:vAlign w:val="center"/>
          </w:tcPr>
          <w:p w:rsidR="009174F4" w:rsidRPr="00C903BA" w:rsidRDefault="009174F4" w:rsidP="00F40195">
            <w:pPr>
              <w:spacing w:line="240" w:lineRule="auto"/>
              <w:contextualSpacing/>
              <w:jc w:val="center"/>
              <w:rPr>
                <w:rFonts w:cs="Times New Roman"/>
                <w:szCs w:val="24"/>
              </w:rPr>
            </w:pPr>
            <w:r w:rsidRPr="00C903BA">
              <w:rPr>
                <w:rFonts w:cs="Times New Roman"/>
                <w:szCs w:val="24"/>
              </w:rPr>
              <w:t xml:space="preserve">As with all teachers, 6 additional PD days for each certified </w:t>
            </w:r>
            <w:r w:rsidR="00E6354D" w:rsidRPr="00C903BA">
              <w:rPr>
                <w:rFonts w:cs="Times New Roman"/>
                <w:szCs w:val="24"/>
              </w:rPr>
              <w:t>EL</w:t>
            </w:r>
            <w:r w:rsidRPr="00C903BA">
              <w:rPr>
                <w:rFonts w:cs="Times New Roman"/>
                <w:szCs w:val="24"/>
              </w:rPr>
              <w:t xml:space="preserve"> position</w:t>
            </w:r>
          </w:p>
          <w:p w:rsidR="00795E54" w:rsidRPr="00F40195" w:rsidRDefault="00795E54" w:rsidP="00F40195">
            <w:pPr>
              <w:spacing w:line="240" w:lineRule="auto"/>
              <w:contextualSpacing/>
              <w:jc w:val="center"/>
              <w:rPr>
                <w:rFonts w:cs="Times New Roman"/>
              </w:rPr>
            </w:pP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Instructional Materials</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 xml:space="preserve">$10 per </w:t>
            </w:r>
            <w:r w:rsidR="00E6354D" w:rsidRPr="00F40195">
              <w:rPr>
                <w:rFonts w:cs="Times New Roman"/>
              </w:rPr>
              <w:t>EL</w:t>
            </w:r>
            <w:r w:rsidRPr="00F40195">
              <w:rPr>
                <w:rFonts w:cs="Times New Roman"/>
              </w:rPr>
              <w:t xml:space="preserve"> </w:t>
            </w:r>
            <w:r w:rsidR="009174F4" w:rsidRPr="00F40195">
              <w:rPr>
                <w:rFonts w:cs="Times New Roman"/>
              </w:rPr>
              <w:t>student</w:t>
            </w:r>
            <w:r w:rsidRPr="00F40195">
              <w:rPr>
                <w:rFonts w:cs="Times New Roman"/>
              </w:rPr>
              <w:t xml:space="preserve"> beyond what each generates through the core model </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D73E7C" w:rsidP="00F40195">
            <w:pPr>
              <w:spacing w:line="240" w:lineRule="auto"/>
              <w:jc w:val="center"/>
              <w:rPr>
                <w:rFonts w:cs="Times New Roman"/>
                <w:b/>
              </w:rPr>
            </w:pPr>
            <w:r>
              <w:rPr>
                <w:rFonts w:cs="Times New Roman"/>
                <w:b/>
              </w:rPr>
              <w:t>Low Income</w:t>
            </w:r>
          </w:p>
        </w:tc>
        <w:tc>
          <w:tcPr>
            <w:tcW w:w="4545" w:type="dxa"/>
            <w:vAlign w:val="center"/>
          </w:tcPr>
          <w:p w:rsidR="00795E54" w:rsidRPr="00F40195" w:rsidRDefault="00795E54" w:rsidP="00F40195">
            <w:pPr>
              <w:spacing w:line="240" w:lineRule="auto"/>
              <w:contextualSpacing/>
              <w:jc w:val="center"/>
              <w:rPr>
                <w:rFonts w:cs="Times New Roman"/>
                <w:iCs/>
              </w:rPr>
            </w:pP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ind w:left="252" w:hanging="252"/>
              <w:rPr>
                <w:rFonts w:cs="Times New Roman"/>
              </w:rPr>
            </w:pPr>
            <w:r w:rsidRPr="00F40195">
              <w:rPr>
                <w:rFonts w:cs="Times New Roman"/>
              </w:rPr>
              <w:t xml:space="preserve">Tutors </w:t>
            </w:r>
          </w:p>
        </w:tc>
        <w:tc>
          <w:tcPr>
            <w:tcW w:w="4545" w:type="dxa"/>
            <w:vAlign w:val="center"/>
          </w:tcPr>
          <w:p w:rsidR="00795E54" w:rsidRPr="00F40195" w:rsidRDefault="005B404B" w:rsidP="00F40195">
            <w:pPr>
              <w:spacing w:line="240" w:lineRule="auto"/>
              <w:contextualSpacing/>
              <w:jc w:val="center"/>
              <w:rPr>
                <w:rFonts w:cs="Times New Roman"/>
              </w:rPr>
            </w:pPr>
            <w:r w:rsidRPr="00F40195">
              <w:rPr>
                <w:rFonts w:cs="Times New Roman"/>
              </w:rPr>
              <w:t>1 teacher for every 125</w:t>
            </w:r>
            <w:r w:rsidR="003D3CB8" w:rsidRPr="00F40195">
              <w:rPr>
                <w:rFonts w:cs="Times New Roman"/>
              </w:rPr>
              <w:t xml:space="preserve"> FRPL</w:t>
            </w:r>
            <w:r w:rsidR="00795E54" w:rsidRPr="00F40195">
              <w:rPr>
                <w:rFonts w:cs="Times New Roman"/>
              </w:rPr>
              <w:t xml:space="preserve"> students</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ind w:left="252" w:hanging="252"/>
              <w:contextualSpacing/>
              <w:rPr>
                <w:rFonts w:cs="Times New Roman"/>
              </w:rPr>
            </w:pPr>
            <w:r w:rsidRPr="00F40195">
              <w:rPr>
                <w:rFonts w:cs="Times New Roman"/>
              </w:rPr>
              <w:t xml:space="preserve">Extended Day </w:t>
            </w:r>
          </w:p>
        </w:tc>
        <w:tc>
          <w:tcPr>
            <w:tcW w:w="4545" w:type="dxa"/>
            <w:vAlign w:val="center"/>
          </w:tcPr>
          <w:p w:rsidR="00795E54" w:rsidRPr="00F40195" w:rsidRDefault="00795E54" w:rsidP="00F40195">
            <w:pPr>
              <w:spacing w:line="240" w:lineRule="auto"/>
              <w:contextualSpacing/>
              <w:jc w:val="center"/>
              <w:rPr>
                <w:rFonts w:cs="Times New Roman"/>
                <w:iCs/>
              </w:rPr>
            </w:pPr>
            <w:r w:rsidRPr="00F40195">
              <w:rPr>
                <w:rFonts w:cs="Times New Roman"/>
                <w:iCs/>
              </w:rPr>
              <w:t xml:space="preserve">3.33 </w:t>
            </w:r>
            <w:r w:rsidRPr="00F40195">
              <w:rPr>
                <w:rFonts w:cs="Times New Roman"/>
              </w:rPr>
              <w:t>teacher</w:t>
            </w:r>
            <w:r w:rsidR="00B8100E" w:rsidRPr="00F40195">
              <w:rPr>
                <w:rFonts w:cs="Times New Roman"/>
              </w:rPr>
              <w:t>s</w:t>
            </w:r>
            <w:r w:rsidRPr="00F40195">
              <w:rPr>
                <w:rFonts w:cs="Times New Roman"/>
              </w:rPr>
              <w:t xml:space="preserve"> </w:t>
            </w:r>
            <w:r w:rsidRPr="00F40195">
              <w:rPr>
                <w:rFonts w:cs="Times New Roman"/>
                <w:iCs/>
              </w:rPr>
              <w:t xml:space="preserve">for every </w:t>
            </w:r>
            <w:r w:rsidR="005B404B" w:rsidRPr="00F40195">
              <w:rPr>
                <w:rFonts w:cs="Times New Roman"/>
                <w:iCs/>
              </w:rPr>
              <w:t>1</w:t>
            </w:r>
            <w:r w:rsidR="00B27872">
              <w:rPr>
                <w:rFonts w:cs="Times New Roman"/>
                <w:iCs/>
              </w:rPr>
              <w:t>00</w:t>
            </w:r>
            <w:r w:rsidR="0091086A" w:rsidRPr="00F40195">
              <w:rPr>
                <w:rFonts w:cs="Times New Roman"/>
                <w:iCs/>
              </w:rPr>
              <w:t xml:space="preserve"> FRPL students</w:t>
            </w:r>
            <w:r w:rsidRPr="00F40195">
              <w:rPr>
                <w:rFonts w:cs="Times New Roman"/>
                <w:iCs/>
              </w:rPr>
              <w:t>, times 0.25</w:t>
            </w:r>
            <w:r w:rsidR="00B27872">
              <w:rPr>
                <w:rFonts w:cs="Times New Roman"/>
                <w:iCs/>
              </w:rPr>
              <w:t>, which equals 1/120 FRPL</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ind w:left="252" w:hanging="252"/>
              <w:contextualSpacing/>
              <w:rPr>
                <w:rFonts w:cs="Times New Roman"/>
              </w:rPr>
            </w:pPr>
            <w:r w:rsidRPr="00F40195">
              <w:rPr>
                <w:rFonts w:cs="Times New Roman"/>
              </w:rPr>
              <w:t xml:space="preserve">Summer School </w:t>
            </w:r>
          </w:p>
        </w:tc>
        <w:tc>
          <w:tcPr>
            <w:tcW w:w="4545" w:type="dxa"/>
            <w:vAlign w:val="center"/>
          </w:tcPr>
          <w:p w:rsidR="00795E54" w:rsidRPr="00F40195" w:rsidRDefault="00795E54" w:rsidP="00F40195">
            <w:pPr>
              <w:spacing w:line="240" w:lineRule="auto"/>
              <w:contextualSpacing/>
              <w:jc w:val="center"/>
              <w:rPr>
                <w:rFonts w:cs="Times New Roman"/>
                <w:iCs/>
              </w:rPr>
            </w:pPr>
            <w:r w:rsidRPr="00F40195">
              <w:rPr>
                <w:rFonts w:cs="Times New Roman"/>
                <w:iCs/>
              </w:rPr>
              <w:t xml:space="preserve">3.33 </w:t>
            </w:r>
            <w:r w:rsidRPr="00F40195">
              <w:rPr>
                <w:rFonts w:cs="Times New Roman"/>
              </w:rPr>
              <w:t>teacher</w:t>
            </w:r>
            <w:r w:rsidR="00B8100E" w:rsidRPr="00F40195">
              <w:rPr>
                <w:rFonts w:cs="Times New Roman"/>
              </w:rPr>
              <w:t>s</w:t>
            </w:r>
            <w:r w:rsidRPr="00F40195">
              <w:rPr>
                <w:rFonts w:cs="Times New Roman"/>
              </w:rPr>
              <w:t xml:space="preserve"> </w:t>
            </w:r>
            <w:r w:rsidRPr="00F40195">
              <w:rPr>
                <w:rFonts w:cs="Times New Roman"/>
                <w:iCs/>
              </w:rPr>
              <w:t xml:space="preserve">for every </w:t>
            </w:r>
            <w:r w:rsidR="00B27872" w:rsidRPr="00F40195">
              <w:rPr>
                <w:rFonts w:cs="Times New Roman"/>
                <w:iCs/>
              </w:rPr>
              <w:t>1</w:t>
            </w:r>
            <w:r w:rsidR="00B27872">
              <w:rPr>
                <w:rFonts w:cs="Times New Roman"/>
                <w:iCs/>
              </w:rPr>
              <w:t>00</w:t>
            </w:r>
            <w:r w:rsidR="00B27872" w:rsidRPr="00F40195">
              <w:rPr>
                <w:rFonts w:cs="Times New Roman"/>
                <w:iCs/>
              </w:rPr>
              <w:t xml:space="preserve"> FRPL students, times 0.25</w:t>
            </w:r>
            <w:r w:rsidR="00B27872">
              <w:rPr>
                <w:rFonts w:cs="Times New Roman"/>
                <w:iCs/>
              </w:rPr>
              <w:t>, which equals 1/120 FRPL</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Additional Pupil Support</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 xml:space="preserve">1 teacher support position for </w:t>
            </w:r>
            <w:r w:rsidR="003D3CB8" w:rsidRPr="00F40195">
              <w:rPr>
                <w:rFonts w:cs="Times New Roman"/>
              </w:rPr>
              <w:t>every 1</w:t>
            </w:r>
            <w:r w:rsidR="00964E44" w:rsidRPr="00F40195">
              <w:rPr>
                <w:rFonts w:cs="Times New Roman"/>
              </w:rPr>
              <w:t>0</w:t>
            </w:r>
            <w:r w:rsidR="00DC2CAA" w:rsidRPr="00F40195">
              <w:rPr>
                <w:rFonts w:cs="Times New Roman"/>
              </w:rPr>
              <w:t>0</w:t>
            </w:r>
            <w:r w:rsidR="003D3CB8" w:rsidRPr="00F40195">
              <w:rPr>
                <w:rFonts w:cs="Times New Roman"/>
              </w:rPr>
              <w:t xml:space="preserve"> FRPL</w:t>
            </w:r>
            <w:r w:rsidRPr="00F40195">
              <w:rPr>
                <w:rFonts w:cs="Times New Roman"/>
              </w:rPr>
              <w:t xml:space="preserve"> students</w:t>
            </w:r>
          </w:p>
        </w:tc>
      </w:tr>
      <w:tr w:rsidR="00795E54" w:rsidRPr="00F40195" w:rsidTr="00A763C9">
        <w:tblPrEx>
          <w:tblBorders>
            <w:bottom w:val="dotted" w:sz="4" w:space="0" w:color="auto"/>
          </w:tblBorders>
        </w:tblPrEx>
        <w:trPr>
          <w:trHeight w:val="287"/>
          <w:jc w:val="center"/>
        </w:trPr>
        <w:tc>
          <w:tcPr>
            <w:tcW w:w="3870" w:type="dxa"/>
            <w:vAlign w:val="center"/>
          </w:tcPr>
          <w:p w:rsidR="00795E54" w:rsidRPr="00F40195" w:rsidRDefault="00795E54" w:rsidP="00F40195">
            <w:pPr>
              <w:spacing w:line="240" w:lineRule="auto"/>
              <w:rPr>
                <w:rFonts w:cs="Times New Roman"/>
              </w:rPr>
            </w:pPr>
            <w:bookmarkStart w:id="82" w:name="_Hlk328053561"/>
            <w:r w:rsidRPr="00F40195">
              <w:rPr>
                <w:rFonts w:cs="Times New Roman"/>
              </w:rPr>
              <w:t>Substitutes</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5 percent of teacher positions</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Professional Development</w:t>
            </w:r>
          </w:p>
        </w:tc>
        <w:tc>
          <w:tcPr>
            <w:tcW w:w="4545" w:type="dxa"/>
            <w:vAlign w:val="center"/>
          </w:tcPr>
          <w:p w:rsidR="00795E54" w:rsidRPr="00F40195" w:rsidRDefault="009174F4" w:rsidP="00F40195">
            <w:pPr>
              <w:spacing w:line="240" w:lineRule="auto"/>
              <w:contextualSpacing/>
              <w:jc w:val="center"/>
              <w:rPr>
                <w:rFonts w:cs="Times New Roman"/>
              </w:rPr>
            </w:pPr>
            <w:r w:rsidRPr="00F40195">
              <w:rPr>
                <w:rFonts w:cs="Times New Roman"/>
                <w:szCs w:val="20"/>
              </w:rPr>
              <w:t>As with all teachers, 6 additional PD days for each certified Pupil Support position</w:t>
            </w:r>
          </w:p>
        </w:tc>
      </w:tr>
      <w:bookmarkEnd w:id="82"/>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Instructional Materials</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 xml:space="preserve">$10 per </w:t>
            </w:r>
            <w:r w:rsidR="00850C09" w:rsidRPr="00F40195">
              <w:rPr>
                <w:rFonts w:cs="Times New Roman"/>
              </w:rPr>
              <w:t>FRPL</w:t>
            </w:r>
            <w:r w:rsidRPr="00F40195">
              <w:rPr>
                <w:rFonts w:cs="Times New Roman"/>
              </w:rPr>
              <w:t xml:space="preserve"> pupil for each of 4 programs (tutors, extended day, summer school and pupil support)</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jc w:val="center"/>
              <w:rPr>
                <w:rFonts w:cs="Times New Roman"/>
                <w:b/>
              </w:rPr>
            </w:pPr>
            <w:r w:rsidRPr="00F40195">
              <w:rPr>
                <w:rFonts w:cs="Times New Roman"/>
                <w:b/>
              </w:rPr>
              <w:t>Students with Mild and Moderate Disabilities*</w:t>
            </w:r>
          </w:p>
        </w:tc>
        <w:tc>
          <w:tcPr>
            <w:tcW w:w="4545" w:type="dxa"/>
            <w:vAlign w:val="center"/>
          </w:tcPr>
          <w:p w:rsidR="00795E54" w:rsidRPr="00F40195" w:rsidRDefault="00795E54" w:rsidP="00F40195">
            <w:pPr>
              <w:spacing w:line="240" w:lineRule="auto"/>
              <w:contextualSpacing/>
              <w:jc w:val="center"/>
              <w:rPr>
                <w:rFonts w:cs="Times New Roman"/>
                <w:iCs/>
              </w:rPr>
            </w:pP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contextualSpacing/>
              <w:rPr>
                <w:rFonts w:cs="Times New Roman"/>
              </w:rPr>
            </w:pPr>
            <w:r w:rsidRPr="00F40195">
              <w:rPr>
                <w:rFonts w:cs="Times New Roman"/>
              </w:rPr>
              <w:t>Special Education – mild and moderate disabilities</w:t>
            </w:r>
          </w:p>
        </w:tc>
        <w:tc>
          <w:tcPr>
            <w:tcW w:w="4545" w:type="dxa"/>
            <w:vAlign w:val="center"/>
          </w:tcPr>
          <w:p w:rsidR="00795E54" w:rsidRPr="00F40195" w:rsidRDefault="00E01238" w:rsidP="00F40195">
            <w:pPr>
              <w:pStyle w:val="ListParagraph"/>
              <w:spacing w:line="240" w:lineRule="auto"/>
              <w:ind w:left="360"/>
              <w:jc w:val="center"/>
              <w:rPr>
                <w:rFonts w:cs="Times New Roman"/>
                <w:iCs/>
              </w:rPr>
            </w:pPr>
            <w:r w:rsidRPr="00F40195">
              <w:rPr>
                <w:rFonts w:cs="Times New Roman"/>
                <w:iCs/>
              </w:rPr>
              <w:t xml:space="preserve">1.0 teacher and </w:t>
            </w:r>
            <w:r w:rsidR="0091086A" w:rsidRPr="00F40195">
              <w:rPr>
                <w:rFonts w:cs="Times New Roman"/>
                <w:iCs/>
              </w:rPr>
              <w:t>1.0</w:t>
            </w:r>
            <w:r w:rsidRPr="00F40195">
              <w:rPr>
                <w:rFonts w:cs="Times New Roman"/>
                <w:iCs/>
              </w:rPr>
              <w:t xml:space="preserve"> </w:t>
            </w:r>
            <w:r w:rsidR="00850C09" w:rsidRPr="00F40195">
              <w:rPr>
                <w:rFonts w:cs="Times New Roman"/>
                <w:iCs/>
              </w:rPr>
              <w:t>a</w:t>
            </w:r>
            <w:r w:rsidR="00795E54" w:rsidRPr="00F40195">
              <w:rPr>
                <w:rFonts w:cs="Times New Roman"/>
                <w:iCs/>
              </w:rPr>
              <w:t xml:space="preserve">ide for every 150 regular students (to be used to provide special education services) </w:t>
            </w:r>
          </w:p>
        </w:tc>
      </w:tr>
      <w:tr w:rsidR="00795E54" w:rsidRPr="00F40195" w:rsidTr="00A763C9">
        <w:tblPrEx>
          <w:tblBorders>
            <w:bottom w:val="dotted" w:sz="4" w:space="0" w:color="auto"/>
          </w:tblBorders>
        </w:tblPrEx>
        <w:trPr>
          <w:trHeight w:val="350"/>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Substitute</w:t>
            </w:r>
          </w:p>
        </w:tc>
        <w:tc>
          <w:tcPr>
            <w:tcW w:w="4545" w:type="dxa"/>
            <w:vAlign w:val="center"/>
          </w:tcPr>
          <w:p w:rsidR="00795E54" w:rsidRPr="00F40195" w:rsidRDefault="00795E54" w:rsidP="00F40195">
            <w:pPr>
              <w:spacing w:line="240" w:lineRule="auto"/>
              <w:contextualSpacing/>
              <w:jc w:val="center"/>
              <w:rPr>
                <w:rFonts w:cs="Times New Roman"/>
              </w:rPr>
            </w:pPr>
            <w:r w:rsidRPr="00F40195">
              <w:rPr>
                <w:rFonts w:cs="Times New Roman"/>
              </w:rPr>
              <w:t>5 percent of teacher positions</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Professional Development</w:t>
            </w:r>
          </w:p>
        </w:tc>
        <w:tc>
          <w:tcPr>
            <w:tcW w:w="4545" w:type="dxa"/>
            <w:vAlign w:val="center"/>
          </w:tcPr>
          <w:p w:rsidR="00795E54" w:rsidRPr="00F40195" w:rsidRDefault="009174F4" w:rsidP="00F40195">
            <w:pPr>
              <w:spacing w:line="240" w:lineRule="auto"/>
              <w:contextualSpacing/>
              <w:jc w:val="center"/>
              <w:rPr>
                <w:rFonts w:cs="Times New Roman"/>
              </w:rPr>
            </w:pPr>
            <w:r w:rsidRPr="00F40195">
              <w:rPr>
                <w:rFonts w:cs="Times New Roman"/>
                <w:szCs w:val="20"/>
              </w:rPr>
              <w:t>As with all teachers, 6 additional PD days for each certified SPED position</w:t>
            </w:r>
          </w:p>
        </w:tc>
      </w:tr>
      <w:tr w:rsidR="00795E54" w:rsidRPr="00F40195" w:rsidTr="00A763C9">
        <w:tblPrEx>
          <w:tblBorders>
            <w:bottom w:val="dotted" w:sz="4" w:space="0" w:color="auto"/>
          </w:tblBorders>
        </w:tblPrEx>
        <w:trPr>
          <w:jc w:val="center"/>
        </w:trPr>
        <w:tc>
          <w:tcPr>
            <w:tcW w:w="3870" w:type="dxa"/>
            <w:vAlign w:val="center"/>
          </w:tcPr>
          <w:p w:rsidR="00795E54" w:rsidRPr="00F40195" w:rsidRDefault="00795E54" w:rsidP="00F40195">
            <w:pPr>
              <w:spacing w:line="240" w:lineRule="auto"/>
              <w:rPr>
                <w:rFonts w:cs="Times New Roman"/>
              </w:rPr>
            </w:pPr>
            <w:r w:rsidRPr="00F40195">
              <w:rPr>
                <w:rFonts w:cs="Times New Roman"/>
              </w:rPr>
              <w:t>Instructional Materials</w:t>
            </w:r>
          </w:p>
        </w:tc>
        <w:tc>
          <w:tcPr>
            <w:tcW w:w="4545" w:type="dxa"/>
            <w:vAlign w:val="center"/>
          </w:tcPr>
          <w:p w:rsidR="00795E54" w:rsidRPr="00F40195" w:rsidRDefault="00795E54" w:rsidP="00F40195">
            <w:pPr>
              <w:spacing w:line="240" w:lineRule="auto"/>
              <w:jc w:val="center"/>
              <w:rPr>
                <w:rFonts w:cs="Times New Roman"/>
                <w:iCs/>
              </w:rPr>
            </w:pPr>
            <w:r w:rsidRPr="00F40195">
              <w:rPr>
                <w:rFonts w:cs="Times New Roman"/>
              </w:rPr>
              <w:t xml:space="preserve">$10 </w:t>
            </w:r>
            <w:r w:rsidRPr="00F40195">
              <w:rPr>
                <w:rFonts w:cs="Times New Roman"/>
                <w:iCs/>
              </w:rPr>
              <w:t>for every regular student to be used to provide special education services</w:t>
            </w:r>
          </w:p>
        </w:tc>
      </w:tr>
      <w:tr w:rsidR="00032949" w:rsidRPr="00F40195" w:rsidTr="00A763C9">
        <w:tblPrEx>
          <w:tblBorders>
            <w:bottom w:val="dotted" w:sz="4" w:space="0" w:color="auto"/>
          </w:tblBorders>
        </w:tblPrEx>
        <w:trPr>
          <w:jc w:val="center"/>
        </w:trPr>
        <w:tc>
          <w:tcPr>
            <w:tcW w:w="3870" w:type="dxa"/>
            <w:vAlign w:val="center"/>
          </w:tcPr>
          <w:p w:rsidR="00032949" w:rsidRPr="00F40195" w:rsidRDefault="00032949" w:rsidP="00F40195">
            <w:pPr>
              <w:spacing w:line="240" w:lineRule="auto"/>
              <w:jc w:val="center"/>
              <w:rPr>
                <w:rFonts w:cs="Times New Roman"/>
                <w:b/>
              </w:rPr>
            </w:pPr>
            <w:r w:rsidRPr="00F40195">
              <w:rPr>
                <w:rFonts w:cs="Times New Roman"/>
                <w:b/>
              </w:rPr>
              <w:t>Career and Technical Education</w:t>
            </w:r>
          </w:p>
        </w:tc>
        <w:tc>
          <w:tcPr>
            <w:tcW w:w="4545" w:type="dxa"/>
            <w:vAlign w:val="center"/>
          </w:tcPr>
          <w:p w:rsidR="00032949" w:rsidRPr="00F40195" w:rsidRDefault="00032949" w:rsidP="00F40195">
            <w:pPr>
              <w:spacing w:line="240" w:lineRule="auto"/>
              <w:jc w:val="center"/>
              <w:rPr>
                <w:rFonts w:cs="Times New Roman"/>
                <w:iCs/>
              </w:rPr>
            </w:pPr>
          </w:p>
        </w:tc>
      </w:tr>
      <w:tr w:rsidR="00032949" w:rsidRPr="00F40195" w:rsidTr="00A763C9">
        <w:tblPrEx>
          <w:tblBorders>
            <w:bottom w:val="dotted" w:sz="4" w:space="0" w:color="auto"/>
          </w:tblBorders>
        </w:tblPrEx>
        <w:trPr>
          <w:jc w:val="center"/>
        </w:trPr>
        <w:tc>
          <w:tcPr>
            <w:tcW w:w="3870" w:type="dxa"/>
            <w:tcBorders>
              <w:bottom w:val="single" w:sz="24" w:space="0" w:color="auto"/>
            </w:tcBorders>
            <w:vAlign w:val="center"/>
          </w:tcPr>
          <w:p w:rsidR="00032949" w:rsidRPr="00F40195" w:rsidRDefault="00032949" w:rsidP="00F40195">
            <w:pPr>
              <w:spacing w:line="240" w:lineRule="auto"/>
              <w:contextualSpacing/>
              <w:rPr>
                <w:rFonts w:cs="Times New Roman"/>
              </w:rPr>
            </w:pPr>
            <w:r w:rsidRPr="00F40195">
              <w:rPr>
                <w:rFonts w:cs="Times New Roman"/>
              </w:rPr>
              <w:t>Equipment Resources</w:t>
            </w:r>
          </w:p>
        </w:tc>
        <w:tc>
          <w:tcPr>
            <w:tcW w:w="4545" w:type="dxa"/>
            <w:tcBorders>
              <w:bottom w:val="single" w:sz="24" w:space="0" w:color="auto"/>
            </w:tcBorders>
            <w:vAlign w:val="center"/>
          </w:tcPr>
          <w:p w:rsidR="00032949" w:rsidRPr="00F40195" w:rsidRDefault="00032949" w:rsidP="00F40195">
            <w:pPr>
              <w:spacing w:line="240" w:lineRule="auto"/>
              <w:jc w:val="center"/>
              <w:rPr>
                <w:rFonts w:cs="Times New Roman"/>
                <w:iCs/>
              </w:rPr>
            </w:pPr>
            <w:r w:rsidRPr="00F40195">
              <w:rPr>
                <w:rFonts w:cs="Times New Roman"/>
              </w:rPr>
              <w:t xml:space="preserve">$9,000 per </w:t>
            </w:r>
            <w:r w:rsidR="00A8330E" w:rsidRPr="00F40195">
              <w:rPr>
                <w:rFonts w:cs="Times New Roman"/>
              </w:rPr>
              <w:t xml:space="preserve">CTE </w:t>
            </w:r>
            <w:r w:rsidRPr="00F40195">
              <w:rPr>
                <w:rFonts w:cs="Times New Roman"/>
              </w:rPr>
              <w:t>teacher FTE</w:t>
            </w:r>
          </w:p>
        </w:tc>
      </w:tr>
    </w:tbl>
    <w:p w:rsidR="00795E54" w:rsidRPr="00F40195" w:rsidRDefault="00795E54" w:rsidP="00F40195">
      <w:pPr>
        <w:spacing w:line="240" w:lineRule="auto"/>
        <w:ind w:left="634"/>
        <w:contextualSpacing/>
        <w:rPr>
          <w:rFonts w:cs="Times New Roman"/>
        </w:rPr>
      </w:pPr>
      <w:r w:rsidRPr="00F40195">
        <w:rPr>
          <w:rFonts w:cs="Times New Roman"/>
        </w:rPr>
        <w:t>*Special Education for students with severe and profound disabilities is 100% st</w:t>
      </w:r>
      <w:r w:rsidR="000B43BD" w:rsidRPr="00F40195">
        <w:rPr>
          <w:rFonts w:cs="Times New Roman"/>
        </w:rPr>
        <w:t>ate funded with a state-level a</w:t>
      </w:r>
      <w:r w:rsidRPr="00F40195">
        <w:rPr>
          <w:rFonts w:cs="Times New Roman"/>
        </w:rPr>
        <w:t>id program</w:t>
      </w:r>
      <w:r w:rsidR="009739FE" w:rsidRPr="00F40195">
        <w:rPr>
          <w:rFonts w:cs="Times New Roman"/>
        </w:rPr>
        <w:t xml:space="preserve">. </w:t>
      </w:r>
    </w:p>
    <w:p w:rsidR="00795E54" w:rsidRPr="00F40195" w:rsidRDefault="00795E54" w:rsidP="00F40195">
      <w:pPr>
        <w:spacing w:line="240" w:lineRule="auto"/>
        <w:rPr>
          <w:rFonts w:cs="Times New Roman"/>
        </w:rPr>
      </w:pPr>
    </w:p>
    <w:p w:rsidR="00727A71" w:rsidRPr="00F40195" w:rsidRDefault="003D3CB8" w:rsidP="00C903BA">
      <w:pPr>
        <w:spacing w:line="240" w:lineRule="auto"/>
        <w:jc w:val="center"/>
        <w:rPr>
          <w:rFonts w:cs="Times New Roman"/>
          <w:b/>
          <w:bCs/>
          <w:szCs w:val="24"/>
        </w:rPr>
      </w:pPr>
      <w:r w:rsidRPr="00F40195">
        <w:rPr>
          <w:rFonts w:cs="Times New Roman"/>
          <w:b/>
          <w:bCs/>
          <w:szCs w:val="24"/>
        </w:rPr>
        <w:lastRenderedPageBreak/>
        <w:t>Table 4.3</w:t>
      </w:r>
    </w:p>
    <w:p w:rsidR="00795E54" w:rsidRPr="00F40195" w:rsidRDefault="00795E54" w:rsidP="00C903BA">
      <w:pPr>
        <w:spacing w:line="240" w:lineRule="auto"/>
        <w:jc w:val="center"/>
        <w:rPr>
          <w:rFonts w:cs="Times New Roman"/>
          <w:b/>
          <w:bCs/>
          <w:szCs w:val="24"/>
        </w:rPr>
      </w:pPr>
      <w:r w:rsidRPr="00F40195">
        <w:rPr>
          <w:rFonts w:cs="Times New Roman"/>
          <w:b/>
          <w:bCs/>
          <w:szCs w:val="24"/>
        </w:rPr>
        <w:t>EB Model Resources for Pre-K Programs</w:t>
      </w:r>
    </w:p>
    <w:p w:rsidR="00727A71" w:rsidRPr="00F40195" w:rsidRDefault="00727A71" w:rsidP="00F40195">
      <w:pPr>
        <w:spacing w:line="240" w:lineRule="auto"/>
        <w:jc w:val="center"/>
        <w:rPr>
          <w:rFonts w:cs="Times New Roman"/>
          <w:b/>
          <w:bCs/>
          <w:szCs w:val="24"/>
        </w:rPr>
      </w:pPr>
    </w:p>
    <w:tbl>
      <w:tblPr>
        <w:tblW w:w="7816"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000" w:firstRow="0" w:lastRow="0" w:firstColumn="0" w:lastColumn="0" w:noHBand="0" w:noVBand="0"/>
      </w:tblPr>
      <w:tblGrid>
        <w:gridCol w:w="3821"/>
        <w:gridCol w:w="3995"/>
      </w:tblGrid>
      <w:tr w:rsidR="00795E54" w:rsidRPr="00F40195" w:rsidTr="00747BDE">
        <w:trPr>
          <w:trHeight w:val="529"/>
          <w:jc w:val="center"/>
        </w:trPr>
        <w:tc>
          <w:tcPr>
            <w:tcW w:w="3821" w:type="dxa"/>
            <w:tcBorders>
              <w:top w:val="single" w:sz="24" w:space="0" w:color="auto"/>
              <w:bottom w:val="single" w:sz="24" w:space="0" w:color="auto"/>
            </w:tcBorders>
          </w:tcPr>
          <w:p w:rsidR="00795E54" w:rsidRPr="00F40195" w:rsidRDefault="00795E54" w:rsidP="00F40195">
            <w:pPr>
              <w:spacing w:line="240" w:lineRule="auto"/>
              <w:contextualSpacing/>
              <w:jc w:val="center"/>
              <w:rPr>
                <w:rFonts w:cs="Times New Roman"/>
                <w:b/>
                <w:bCs/>
                <w:szCs w:val="24"/>
              </w:rPr>
            </w:pPr>
            <w:r w:rsidRPr="00F40195">
              <w:rPr>
                <w:rFonts w:cs="Times New Roman"/>
                <w:b/>
                <w:szCs w:val="24"/>
              </w:rPr>
              <w:t>School Element</w:t>
            </w:r>
          </w:p>
        </w:tc>
        <w:tc>
          <w:tcPr>
            <w:tcW w:w="3995" w:type="dxa"/>
            <w:tcBorders>
              <w:top w:val="single" w:sz="24" w:space="0" w:color="auto"/>
              <w:bottom w:val="single" w:sz="24" w:space="0" w:color="auto"/>
            </w:tcBorders>
          </w:tcPr>
          <w:p w:rsidR="00795E54" w:rsidRPr="00F40195" w:rsidRDefault="00795E54" w:rsidP="00F40195">
            <w:pPr>
              <w:pStyle w:val="Heading4"/>
            </w:pPr>
            <w:r w:rsidRPr="00F40195">
              <w:t>Pre-K Programs</w:t>
            </w:r>
          </w:p>
        </w:tc>
      </w:tr>
      <w:tr w:rsidR="00795E54" w:rsidRPr="00F40195" w:rsidTr="00747BDE">
        <w:trPr>
          <w:trHeight w:val="264"/>
          <w:jc w:val="center"/>
        </w:trPr>
        <w:tc>
          <w:tcPr>
            <w:tcW w:w="3821" w:type="dxa"/>
            <w:vAlign w:val="center"/>
          </w:tcPr>
          <w:p w:rsidR="00795E54" w:rsidRPr="00F40195" w:rsidRDefault="00780E75" w:rsidP="00F40195">
            <w:pPr>
              <w:spacing w:line="240" w:lineRule="auto"/>
              <w:contextualSpacing/>
              <w:rPr>
                <w:rFonts w:cs="Times New Roman"/>
                <w:szCs w:val="24"/>
              </w:rPr>
            </w:pPr>
            <w:r w:rsidRPr="00F40195">
              <w:rPr>
                <w:rFonts w:cs="Times New Roman"/>
                <w:szCs w:val="24"/>
              </w:rPr>
              <w:t>Program</w:t>
            </w:r>
            <w:r w:rsidR="00795E54" w:rsidRPr="00F40195">
              <w:rPr>
                <w:rFonts w:cs="Times New Roman"/>
                <w:szCs w:val="24"/>
              </w:rPr>
              <w:t xml:space="preserve"> Configuration</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Pre-K</w:t>
            </w:r>
          </w:p>
        </w:tc>
      </w:tr>
      <w:tr w:rsidR="00795E54" w:rsidRPr="00F40195" w:rsidTr="00747BDE">
        <w:trPr>
          <w:trHeight w:val="264"/>
          <w:jc w:val="center"/>
        </w:trPr>
        <w:tc>
          <w:tcPr>
            <w:tcW w:w="3821" w:type="dxa"/>
            <w:vAlign w:val="center"/>
          </w:tcPr>
          <w:p w:rsidR="00795E54" w:rsidRPr="00F40195" w:rsidRDefault="00795E54" w:rsidP="00F40195">
            <w:pPr>
              <w:spacing w:line="240" w:lineRule="auto"/>
              <w:contextualSpacing/>
              <w:rPr>
                <w:rFonts w:cs="Times New Roman"/>
                <w:szCs w:val="24"/>
              </w:rPr>
            </w:pPr>
            <w:r w:rsidRPr="00F40195">
              <w:rPr>
                <w:rFonts w:cs="Times New Roman"/>
                <w:szCs w:val="24"/>
              </w:rPr>
              <w:t xml:space="preserve">Prototypical </w:t>
            </w:r>
            <w:r w:rsidR="00780E75" w:rsidRPr="00F40195">
              <w:rPr>
                <w:rFonts w:cs="Times New Roman"/>
                <w:szCs w:val="24"/>
              </w:rPr>
              <w:t>Program</w:t>
            </w:r>
            <w:r w:rsidRPr="00F40195">
              <w:rPr>
                <w:rFonts w:cs="Times New Roman"/>
                <w:szCs w:val="24"/>
              </w:rPr>
              <w:t xml:space="preserve"> </w:t>
            </w:r>
            <w:r w:rsidR="00780E75" w:rsidRPr="00F40195">
              <w:rPr>
                <w:rFonts w:cs="Times New Roman"/>
                <w:szCs w:val="24"/>
              </w:rPr>
              <w:t>S</w:t>
            </w:r>
            <w:r w:rsidRPr="00F40195">
              <w:rPr>
                <w:rFonts w:cs="Times New Roman"/>
                <w:szCs w:val="24"/>
              </w:rPr>
              <w:t>ize</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150</w:t>
            </w:r>
          </w:p>
        </w:tc>
      </w:tr>
      <w:tr w:rsidR="00795E54" w:rsidRPr="00F40195" w:rsidTr="00747BDE">
        <w:trPr>
          <w:trHeight w:val="264"/>
          <w:jc w:val="center"/>
        </w:trPr>
        <w:tc>
          <w:tcPr>
            <w:tcW w:w="3821" w:type="dxa"/>
            <w:vAlign w:val="center"/>
          </w:tcPr>
          <w:p w:rsidR="00795E54" w:rsidRPr="00F40195" w:rsidRDefault="00795E54" w:rsidP="00F40195">
            <w:pPr>
              <w:spacing w:line="240" w:lineRule="auto"/>
              <w:contextualSpacing/>
              <w:rPr>
                <w:rFonts w:cs="Times New Roman"/>
                <w:szCs w:val="24"/>
              </w:rPr>
            </w:pPr>
            <w:r w:rsidRPr="00F40195">
              <w:rPr>
                <w:rFonts w:cs="Times New Roman"/>
                <w:szCs w:val="24"/>
              </w:rPr>
              <w:t>Class size</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15</w:t>
            </w:r>
          </w:p>
        </w:tc>
      </w:tr>
      <w:tr w:rsidR="00795E54" w:rsidRPr="00F40195" w:rsidTr="00747BDE">
        <w:trPr>
          <w:trHeight w:val="1116"/>
          <w:jc w:val="center"/>
        </w:trPr>
        <w:tc>
          <w:tcPr>
            <w:tcW w:w="3821" w:type="dxa"/>
            <w:vAlign w:val="center"/>
          </w:tcPr>
          <w:p w:rsidR="00795E54" w:rsidRPr="00F40195" w:rsidRDefault="00C903BA" w:rsidP="00F40195">
            <w:pPr>
              <w:spacing w:line="240" w:lineRule="auto"/>
              <w:contextualSpacing/>
              <w:rPr>
                <w:rFonts w:cs="Times New Roman"/>
                <w:szCs w:val="24"/>
              </w:rPr>
            </w:pPr>
            <w:r>
              <w:rPr>
                <w:rFonts w:cs="Times New Roman"/>
                <w:szCs w:val="24"/>
              </w:rPr>
              <w:t>Length of Teacher Contract</w:t>
            </w:r>
          </w:p>
        </w:tc>
        <w:tc>
          <w:tcPr>
            <w:tcW w:w="3995" w:type="dxa"/>
            <w:vAlign w:val="center"/>
          </w:tcPr>
          <w:p w:rsidR="00C903BA" w:rsidRPr="00F40195" w:rsidRDefault="00C903BA" w:rsidP="00C903BA">
            <w:pPr>
              <w:spacing w:line="240" w:lineRule="auto"/>
              <w:contextualSpacing/>
              <w:jc w:val="center"/>
              <w:rPr>
                <w:rFonts w:cs="Times New Roman"/>
                <w:sz w:val="20"/>
                <w:szCs w:val="20"/>
              </w:rPr>
            </w:pPr>
            <w:r>
              <w:rPr>
                <w:rFonts w:cs="Times New Roman"/>
                <w:sz w:val="20"/>
                <w:szCs w:val="20"/>
              </w:rPr>
              <w:t>192</w:t>
            </w:r>
            <w:r w:rsidRPr="00F40195">
              <w:rPr>
                <w:rFonts w:cs="Times New Roman"/>
                <w:sz w:val="20"/>
                <w:szCs w:val="20"/>
              </w:rPr>
              <w:t xml:space="preserve"> days:</w:t>
            </w:r>
          </w:p>
          <w:p w:rsidR="00C903BA" w:rsidRPr="00F40195" w:rsidRDefault="00C903BA" w:rsidP="00C903BA">
            <w:pPr>
              <w:spacing w:line="240" w:lineRule="auto"/>
              <w:contextualSpacing/>
              <w:jc w:val="center"/>
              <w:rPr>
                <w:rFonts w:cs="Times New Roman"/>
                <w:sz w:val="20"/>
                <w:szCs w:val="20"/>
              </w:rPr>
            </w:pPr>
            <w:r w:rsidRPr="00F40195">
              <w:rPr>
                <w:rFonts w:cs="Times New Roman"/>
                <w:sz w:val="20"/>
                <w:szCs w:val="20"/>
              </w:rPr>
              <w:t>Instruction: 174</w:t>
            </w:r>
            <w:r>
              <w:rPr>
                <w:rFonts w:cs="Times New Roman"/>
                <w:sz w:val="20"/>
                <w:szCs w:val="20"/>
              </w:rPr>
              <w:t>, Holidays: 4</w:t>
            </w:r>
          </w:p>
          <w:p w:rsidR="00C903BA" w:rsidRPr="00F40195" w:rsidRDefault="00C903BA" w:rsidP="00C903BA">
            <w:pPr>
              <w:spacing w:line="240" w:lineRule="auto"/>
              <w:contextualSpacing/>
              <w:jc w:val="center"/>
              <w:rPr>
                <w:rFonts w:cs="Times New Roman"/>
                <w:sz w:val="20"/>
                <w:szCs w:val="20"/>
              </w:rPr>
            </w:pPr>
            <w:r w:rsidRPr="00F40195">
              <w:rPr>
                <w:rFonts w:cs="Times New Roman"/>
                <w:sz w:val="20"/>
                <w:szCs w:val="20"/>
              </w:rPr>
              <w:t>Open/Close Schools &amp; Parent Conferences: 4</w:t>
            </w:r>
          </w:p>
          <w:p w:rsidR="00C903BA" w:rsidRPr="00F40195" w:rsidRDefault="00C903BA" w:rsidP="00C903BA">
            <w:pPr>
              <w:spacing w:line="240" w:lineRule="auto"/>
              <w:contextualSpacing/>
              <w:jc w:val="center"/>
              <w:rPr>
                <w:rFonts w:cs="Times New Roman"/>
                <w:sz w:val="20"/>
                <w:szCs w:val="20"/>
              </w:rPr>
            </w:pPr>
            <w:r w:rsidRPr="00F40195">
              <w:rPr>
                <w:rFonts w:cs="Times New Roman"/>
                <w:sz w:val="20"/>
                <w:szCs w:val="20"/>
              </w:rPr>
              <w:t>Professional Dev.: 10</w:t>
            </w:r>
          </w:p>
          <w:p w:rsidR="00AB2AE0" w:rsidRPr="00F40195" w:rsidRDefault="00C903BA" w:rsidP="00C903BA">
            <w:pPr>
              <w:spacing w:line="240" w:lineRule="auto"/>
              <w:contextualSpacing/>
              <w:jc w:val="center"/>
              <w:rPr>
                <w:rFonts w:cs="Times New Roman"/>
                <w:szCs w:val="24"/>
              </w:rPr>
            </w:pPr>
            <w:r w:rsidRPr="00F40195">
              <w:rPr>
                <w:rFonts w:cs="Times New Roman"/>
                <w:sz w:val="20"/>
                <w:szCs w:val="20"/>
              </w:rPr>
              <w:t xml:space="preserve"> (total includes 6 additional PD days)</w:t>
            </w:r>
          </w:p>
        </w:tc>
      </w:tr>
      <w:tr w:rsidR="00795E54" w:rsidRPr="00F40195" w:rsidTr="00747BDE">
        <w:trPr>
          <w:trHeight w:val="264"/>
          <w:jc w:val="center"/>
        </w:trPr>
        <w:tc>
          <w:tcPr>
            <w:tcW w:w="3821" w:type="dxa"/>
            <w:vAlign w:val="center"/>
          </w:tcPr>
          <w:p w:rsidR="00795E54" w:rsidRPr="00F40195" w:rsidRDefault="00795E54" w:rsidP="00F40195">
            <w:pPr>
              <w:spacing w:line="240" w:lineRule="auto"/>
              <w:jc w:val="center"/>
              <w:rPr>
                <w:rFonts w:cs="Times New Roman"/>
              </w:rPr>
            </w:pPr>
            <w:r w:rsidRPr="00F40195">
              <w:rPr>
                <w:rFonts w:cs="Times New Roman"/>
                <w:b/>
              </w:rPr>
              <w:t>Personnel Resources</w:t>
            </w:r>
          </w:p>
        </w:tc>
        <w:tc>
          <w:tcPr>
            <w:tcW w:w="3995" w:type="dxa"/>
            <w:vAlign w:val="center"/>
          </w:tcPr>
          <w:p w:rsidR="00795E54" w:rsidRPr="00F40195" w:rsidRDefault="00795E54" w:rsidP="00F40195">
            <w:pPr>
              <w:spacing w:line="240" w:lineRule="auto"/>
              <w:contextualSpacing/>
              <w:jc w:val="center"/>
              <w:rPr>
                <w:rFonts w:cs="Times New Roman"/>
                <w:szCs w:val="24"/>
              </w:rPr>
            </w:pPr>
          </w:p>
        </w:tc>
      </w:tr>
      <w:tr w:rsidR="00795E54" w:rsidRPr="00F40195" w:rsidTr="00747BDE">
        <w:trPr>
          <w:trHeight w:val="279"/>
          <w:jc w:val="center"/>
        </w:trPr>
        <w:tc>
          <w:tcPr>
            <w:tcW w:w="3821" w:type="dxa"/>
            <w:vAlign w:val="center"/>
          </w:tcPr>
          <w:p w:rsidR="00795E54" w:rsidRPr="00F40195" w:rsidRDefault="00795E54" w:rsidP="00F40195">
            <w:pPr>
              <w:spacing w:line="240" w:lineRule="auto"/>
              <w:contextualSpacing/>
              <w:rPr>
                <w:rFonts w:cs="Times New Roman"/>
                <w:szCs w:val="24"/>
              </w:rPr>
            </w:pPr>
            <w:r w:rsidRPr="00F40195">
              <w:rPr>
                <w:rFonts w:cs="Times New Roman"/>
                <w:szCs w:val="24"/>
              </w:rPr>
              <w:t xml:space="preserve">Core </w:t>
            </w:r>
            <w:r w:rsidR="00780E75" w:rsidRPr="00F40195">
              <w:rPr>
                <w:rFonts w:cs="Times New Roman"/>
                <w:szCs w:val="24"/>
              </w:rPr>
              <w:t xml:space="preserve">Content </w:t>
            </w:r>
            <w:r w:rsidRPr="00F40195">
              <w:rPr>
                <w:rFonts w:cs="Times New Roman"/>
                <w:szCs w:val="24"/>
              </w:rPr>
              <w:t>Teachers</w:t>
            </w:r>
          </w:p>
        </w:tc>
        <w:tc>
          <w:tcPr>
            <w:tcW w:w="3995" w:type="dxa"/>
            <w:vAlign w:val="center"/>
          </w:tcPr>
          <w:p w:rsidR="00795E54" w:rsidRPr="00F40195" w:rsidRDefault="00795E54" w:rsidP="00F40195">
            <w:pPr>
              <w:spacing w:line="240" w:lineRule="auto"/>
              <w:contextualSpacing/>
              <w:jc w:val="center"/>
              <w:rPr>
                <w:rFonts w:cs="Times New Roman"/>
                <w:iCs/>
                <w:szCs w:val="24"/>
              </w:rPr>
            </w:pPr>
            <w:r w:rsidRPr="00F40195">
              <w:rPr>
                <w:rFonts w:cs="Times New Roman"/>
                <w:iCs/>
                <w:szCs w:val="24"/>
              </w:rPr>
              <w:t>10</w:t>
            </w:r>
          </w:p>
        </w:tc>
      </w:tr>
      <w:tr w:rsidR="00795E54" w:rsidRPr="00F40195" w:rsidTr="00747BDE">
        <w:trPr>
          <w:trHeight w:val="529"/>
          <w:jc w:val="center"/>
        </w:trPr>
        <w:tc>
          <w:tcPr>
            <w:tcW w:w="3821" w:type="dxa"/>
            <w:vAlign w:val="center"/>
          </w:tcPr>
          <w:p w:rsidR="00795E54" w:rsidRPr="00F40195" w:rsidRDefault="00DC40D7" w:rsidP="00F40195">
            <w:pPr>
              <w:spacing w:line="240" w:lineRule="auto"/>
              <w:rPr>
                <w:rFonts w:cs="Times New Roman"/>
                <w:szCs w:val="24"/>
              </w:rPr>
            </w:pPr>
            <w:r w:rsidRPr="00F40195">
              <w:rPr>
                <w:rFonts w:cs="Times New Roman"/>
                <w:szCs w:val="24"/>
              </w:rPr>
              <w:t>Specialist</w:t>
            </w:r>
            <w:r w:rsidR="00795E54" w:rsidRPr="00F40195">
              <w:rPr>
                <w:rFonts w:cs="Times New Roman"/>
                <w:szCs w:val="24"/>
              </w:rPr>
              <w:t xml:space="preserve"> Teachers</w:t>
            </w:r>
          </w:p>
        </w:tc>
        <w:tc>
          <w:tcPr>
            <w:tcW w:w="3995" w:type="dxa"/>
            <w:vAlign w:val="center"/>
          </w:tcPr>
          <w:p w:rsidR="00795E54" w:rsidRPr="00F40195" w:rsidRDefault="00795E54" w:rsidP="00F40195">
            <w:pPr>
              <w:spacing w:line="240" w:lineRule="auto"/>
              <w:contextualSpacing/>
              <w:jc w:val="center"/>
              <w:rPr>
                <w:rFonts w:cs="Times New Roman"/>
                <w:iCs/>
                <w:szCs w:val="24"/>
              </w:rPr>
            </w:pPr>
            <w:r w:rsidRPr="00F40195">
              <w:rPr>
                <w:rFonts w:cs="Times New Roman"/>
                <w:iCs/>
                <w:szCs w:val="24"/>
              </w:rPr>
              <w:t xml:space="preserve">20% more </w:t>
            </w:r>
          </w:p>
          <w:p w:rsidR="00795E54" w:rsidRPr="00F40195" w:rsidRDefault="00795E54" w:rsidP="00F40195">
            <w:pPr>
              <w:spacing w:line="240" w:lineRule="auto"/>
              <w:contextualSpacing/>
              <w:jc w:val="center"/>
              <w:rPr>
                <w:rFonts w:cs="Times New Roman"/>
                <w:iCs/>
                <w:szCs w:val="24"/>
              </w:rPr>
            </w:pPr>
            <w:r w:rsidRPr="00F40195">
              <w:rPr>
                <w:rFonts w:cs="Times New Roman"/>
                <w:iCs/>
                <w:szCs w:val="24"/>
              </w:rPr>
              <w:t>2.0</w:t>
            </w:r>
          </w:p>
        </w:tc>
      </w:tr>
      <w:tr w:rsidR="00795E54" w:rsidRPr="00F40195" w:rsidTr="00747BDE">
        <w:trPr>
          <w:trHeight w:val="813"/>
          <w:jc w:val="center"/>
        </w:trPr>
        <w:tc>
          <w:tcPr>
            <w:tcW w:w="3821" w:type="dxa"/>
            <w:vAlign w:val="center"/>
          </w:tcPr>
          <w:p w:rsidR="00795E54" w:rsidRPr="00F40195" w:rsidRDefault="00795E54" w:rsidP="00747BDE">
            <w:pPr>
              <w:spacing w:line="240" w:lineRule="auto"/>
              <w:rPr>
                <w:rFonts w:cs="Times New Roman"/>
              </w:rPr>
            </w:pPr>
            <w:r w:rsidRPr="00F40195">
              <w:rPr>
                <w:rFonts w:cs="Times New Roman"/>
              </w:rPr>
              <w:t>Instructional Coaches</w:t>
            </w:r>
          </w:p>
        </w:tc>
        <w:tc>
          <w:tcPr>
            <w:tcW w:w="3995" w:type="dxa"/>
            <w:vAlign w:val="center"/>
          </w:tcPr>
          <w:p w:rsidR="00747BDE" w:rsidRDefault="00795E54" w:rsidP="00747BDE">
            <w:pPr>
              <w:spacing w:line="240" w:lineRule="auto"/>
              <w:contextualSpacing/>
              <w:jc w:val="center"/>
              <w:rPr>
                <w:rFonts w:cs="Times New Roman"/>
                <w:iCs/>
                <w:szCs w:val="24"/>
              </w:rPr>
            </w:pPr>
            <w:r w:rsidRPr="00F40195">
              <w:rPr>
                <w:rFonts w:cs="Times New Roman"/>
                <w:szCs w:val="24"/>
              </w:rPr>
              <w:t>1 per 200 students:</w:t>
            </w:r>
            <w:r w:rsidR="00747BDE">
              <w:rPr>
                <w:rFonts w:cs="Times New Roman"/>
                <w:iCs/>
                <w:szCs w:val="24"/>
              </w:rPr>
              <w:t xml:space="preserve"> </w:t>
            </w:r>
          </w:p>
          <w:p w:rsidR="00795E54" w:rsidRPr="00747BDE" w:rsidRDefault="00795E54" w:rsidP="00747BDE">
            <w:pPr>
              <w:spacing w:line="240" w:lineRule="auto"/>
              <w:contextualSpacing/>
              <w:jc w:val="center"/>
              <w:rPr>
                <w:rFonts w:cs="Times New Roman"/>
                <w:iCs/>
                <w:szCs w:val="24"/>
              </w:rPr>
            </w:pPr>
            <w:r w:rsidRPr="00F40195">
              <w:rPr>
                <w:rFonts w:cs="Times New Roman"/>
                <w:iCs/>
                <w:szCs w:val="24"/>
              </w:rPr>
              <w:t>0.75</w:t>
            </w:r>
          </w:p>
        </w:tc>
      </w:tr>
      <w:tr w:rsidR="00795E54" w:rsidRPr="00F40195" w:rsidTr="00747BDE">
        <w:trPr>
          <w:trHeight w:val="529"/>
          <w:jc w:val="center"/>
        </w:trPr>
        <w:tc>
          <w:tcPr>
            <w:tcW w:w="3821" w:type="dxa"/>
            <w:vAlign w:val="center"/>
          </w:tcPr>
          <w:p w:rsidR="00795E54" w:rsidRPr="00F40195" w:rsidRDefault="00795E54" w:rsidP="00F40195">
            <w:pPr>
              <w:spacing w:line="240" w:lineRule="auto"/>
              <w:ind w:left="252" w:hanging="252"/>
              <w:contextualSpacing/>
              <w:rPr>
                <w:rFonts w:cs="Times New Roman"/>
                <w:szCs w:val="24"/>
              </w:rPr>
            </w:pPr>
            <w:r w:rsidRPr="00F40195">
              <w:rPr>
                <w:rFonts w:cs="Times New Roman"/>
                <w:szCs w:val="24"/>
              </w:rPr>
              <w:t>Total Core</w:t>
            </w:r>
            <w:r w:rsidR="00780E75" w:rsidRPr="00F40195">
              <w:rPr>
                <w:rFonts w:cs="Times New Roman"/>
                <w:szCs w:val="24"/>
              </w:rPr>
              <w:t xml:space="preserve"> Content, </w:t>
            </w:r>
            <w:r w:rsidR="00DC40D7" w:rsidRPr="00F40195">
              <w:rPr>
                <w:rFonts w:cs="Times New Roman"/>
                <w:szCs w:val="24"/>
              </w:rPr>
              <w:t>Specialist</w:t>
            </w:r>
            <w:r w:rsidR="00780E75" w:rsidRPr="00F40195">
              <w:rPr>
                <w:rFonts w:cs="Times New Roman"/>
                <w:szCs w:val="24"/>
              </w:rPr>
              <w:t xml:space="preserve">, </w:t>
            </w:r>
            <w:r w:rsidRPr="00F40195">
              <w:rPr>
                <w:rFonts w:cs="Times New Roman"/>
                <w:szCs w:val="24"/>
              </w:rPr>
              <w:t>and Coach Teachers</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12.75</w:t>
            </w:r>
          </w:p>
        </w:tc>
      </w:tr>
      <w:tr w:rsidR="00795E54" w:rsidRPr="00F40195" w:rsidTr="00747BDE">
        <w:trPr>
          <w:trHeight w:val="808"/>
          <w:jc w:val="center"/>
        </w:trPr>
        <w:tc>
          <w:tcPr>
            <w:tcW w:w="3821" w:type="dxa"/>
            <w:vAlign w:val="center"/>
          </w:tcPr>
          <w:p w:rsidR="00795E54" w:rsidRPr="00F40195" w:rsidRDefault="00795E54" w:rsidP="00F40195">
            <w:pPr>
              <w:spacing w:line="240" w:lineRule="auto"/>
              <w:ind w:left="252" w:hanging="252"/>
              <w:contextualSpacing/>
              <w:rPr>
                <w:rFonts w:cs="Times New Roman"/>
                <w:szCs w:val="24"/>
              </w:rPr>
            </w:pPr>
            <w:r w:rsidRPr="00F40195">
              <w:rPr>
                <w:rFonts w:cs="Times New Roman"/>
                <w:szCs w:val="24"/>
              </w:rPr>
              <w:t>Pupil Support</w:t>
            </w:r>
          </w:p>
        </w:tc>
        <w:tc>
          <w:tcPr>
            <w:tcW w:w="3995" w:type="dxa"/>
            <w:vAlign w:val="center"/>
          </w:tcPr>
          <w:p w:rsidR="00795E54" w:rsidRPr="00F40195" w:rsidRDefault="00795E54" w:rsidP="00747BDE">
            <w:pPr>
              <w:spacing w:line="240" w:lineRule="auto"/>
              <w:contextualSpacing/>
              <w:jc w:val="center"/>
              <w:rPr>
                <w:rFonts w:cs="Times New Roman"/>
                <w:szCs w:val="24"/>
              </w:rPr>
            </w:pPr>
            <w:r w:rsidRPr="00F40195">
              <w:rPr>
                <w:rFonts w:cs="Times New Roman"/>
                <w:szCs w:val="24"/>
              </w:rPr>
              <w:t>1 FTE s</w:t>
            </w:r>
            <w:r w:rsidR="00DC2CAA" w:rsidRPr="00F40195">
              <w:rPr>
                <w:rFonts w:cs="Times New Roman"/>
                <w:szCs w:val="24"/>
              </w:rPr>
              <w:t xml:space="preserve">upport position for every </w:t>
            </w:r>
            <w:r w:rsidR="00C4415F" w:rsidRPr="00F40195">
              <w:rPr>
                <w:rFonts w:cs="Times New Roman"/>
                <w:szCs w:val="24"/>
              </w:rPr>
              <w:t>10</w:t>
            </w:r>
            <w:r w:rsidR="0091086A" w:rsidRPr="00F40195">
              <w:rPr>
                <w:rFonts w:cs="Times New Roman"/>
                <w:szCs w:val="24"/>
              </w:rPr>
              <w:t xml:space="preserve">0 </w:t>
            </w:r>
            <w:r w:rsidR="00DC2CAA" w:rsidRPr="00F40195">
              <w:rPr>
                <w:rFonts w:cs="Times New Roman"/>
                <w:szCs w:val="24"/>
              </w:rPr>
              <w:t>FRPL</w:t>
            </w:r>
            <w:r w:rsidR="00747BDE">
              <w:rPr>
                <w:rFonts w:cs="Times New Roman"/>
                <w:szCs w:val="24"/>
              </w:rPr>
              <w:t xml:space="preserve"> students: </w:t>
            </w:r>
            <w:r w:rsidRPr="00F40195">
              <w:rPr>
                <w:rFonts w:cs="Times New Roman"/>
                <w:szCs w:val="24"/>
              </w:rPr>
              <w:t>1.</w:t>
            </w:r>
            <w:r w:rsidR="00C4415F" w:rsidRPr="00F40195">
              <w:rPr>
                <w:rFonts w:cs="Times New Roman"/>
                <w:szCs w:val="24"/>
              </w:rPr>
              <w:t>5</w:t>
            </w:r>
          </w:p>
        </w:tc>
      </w:tr>
      <w:tr w:rsidR="00795E54" w:rsidRPr="00F40195" w:rsidTr="00747BDE">
        <w:trPr>
          <w:trHeight w:val="1087"/>
          <w:jc w:val="center"/>
        </w:trPr>
        <w:tc>
          <w:tcPr>
            <w:tcW w:w="3821" w:type="dxa"/>
            <w:vAlign w:val="center"/>
          </w:tcPr>
          <w:p w:rsidR="00795E54" w:rsidRPr="00F40195" w:rsidRDefault="0091086A" w:rsidP="00F40195">
            <w:pPr>
              <w:spacing w:line="240" w:lineRule="auto"/>
              <w:ind w:left="252" w:hanging="252"/>
              <w:contextualSpacing/>
              <w:rPr>
                <w:rFonts w:cs="Times New Roman"/>
                <w:szCs w:val="24"/>
              </w:rPr>
            </w:pPr>
            <w:r w:rsidRPr="00F40195">
              <w:rPr>
                <w:rFonts w:cs="Times New Roman"/>
              </w:rPr>
              <w:t>Special Education – mild and moderate disabilities</w:t>
            </w:r>
            <w:r w:rsidR="00E02C9E" w:rsidRPr="00F40195">
              <w:rPr>
                <w:rFonts w:cs="Times New Roman"/>
              </w:rPr>
              <w:t>*</w:t>
            </w:r>
          </w:p>
        </w:tc>
        <w:tc>
          <w:tcPr>
            <w:tcW w:w="3995" w:type="dxa"/>
            <w:vAlign w:val="center"/>
          </w:tcPr>
          <w:p w:rsidR="00795E54" w:rsidRPr="00F40195" w:rsidRDefault="0091086A" w:rsidP="00F40195">
            <w:pPr>
              <w:pStyle w:val="ListParagraph"/>
              <w:numPr>
                <w:ilvl w:val="0"/>
                <w:numId w:val="24"/>
              </w:numPr>
              <w:spacing w:line="240" w:lineRule="auto"/>
              <w:jc w:val="center"/>
              <w:rPr>
                <w:rFonts w:cs="Times New Roman"/>
                <w:iCs/>
                <w:szCs w:val="24"/>
              </w:rPr>
            </w:pPr>
            <w:r w:rsidRPr="00F40195">
              <w:rPr>
                <w:rFonts w:cs="Times New Roman"/>
                <w:iCs/>
                <w:szCs w:val="24"/>
              </w:rPr>
              <w:t>T</w:t>
            </w:r>
            <w:r w:rsidR="00795E54" w:rsidRPr="00F40195">
              <w:rPr>
                <w:rFonts w:cs="Times New Roman"/>
                <w:iCs/>
                <w:szCs w:val="24"/>
              </w:rPr>
              <w:t>eacher</w:t>
            </w:r>
            <w:r w:rsidRPr="00F40195">
              <w:rPr>
                <w:rFonts w:cs="Times New Roman"/>
                <w:iCs/>
                <w:szCs w:val="24"/>
              </w:rPr>
              <w:t xml:space="preserve"> and 1.0 Aide</w:t>
            </w:r>
            <w:r w:rsidR="00795E54" w:rsidRPr="00F40195">
              <w:rPr>
                <w:rFonts w:cs="Times New Roman"/>
                <w:iCs/>
                <w:szCs w:val="24"/>
              </w:rPr>
              <w:t xml:space="preserve"> for every 150 regular students (to be used to provide special education services)</w:t>
            </w:r>
          </w:p>
          <w:p w:rsidR="00795E54" w:rsidRPr="00F40195" w:rsidRDefault="00795E54" w:rsidP="00F40195">
            <w:pPr>
              <w:spacing w:line="240" w:lineRule="auto"/>
              <w:jc w:val="center"/>
              <w:rPr>
                <w:rFonts w:cs="Times New Roman"/>
                <w:iCs/>
                <w:szCs w:val="24"/>
              </w:rPr>
            </w:pPr>
            <w:r w:rsidRPr="00F40195">
              <w:rPr>
                <w:rFonts w:cs="Times New Roman"/>
                <w:iCs/>
                <w:szCs w:val="24"/>
              </w:rPr>
              <w:t>1.0</w:t>
            </w:r>
            <w:r w:rsidR="00C4415F" w:rsidRPr="00F40195">
              <w:rPr>
                <w:rFonts w:cs="Times New Roman"/>
                <w:iCs/>
                <w:szCs w:val="24"/>
              </w:rPr>
              <w:t xml:space="preserve"> Teacher, 1.0 Aide</w:t>
            </w:r>
          </w:p>
        </w:tc>
      </w:tr>
      <w:tr w:rsidR="00795E54" w:rsidRPr="00F40195" w:rsidTr="00747BDE">
        <w:trPr>
          <w:trHeight w:val="793"/>
          <w:jc w:val="center"/>
        </w:trPr>
        <w:tc>
          <w:tcPr>
            <w:tcW w:w="3821" w:type="dxa"/>
            <w:vAlign w:val="center"/>
          </w:tcPr>
          <w:p w:rsidR="00795E54" w:rsidRPr="00F40195" w:rsidRDefault="00795E54" w:rsidP="00F40195">
            <w:pPr>
              <w:spacing w:line="240" w:lineRule="auto"/>
              <w:ind w:left="252" w:hanging="252"/>
              <w:contextualSpacing/>
              <w:rPr>
                <w:rFonts w:cs="Times New Roman"/>
                <w:szCs w:val="24"/>
              </w:rPr>
            </w:pPr>
            <w:r w:rsidRPr="00F40195">
              <w:rPr>
                <w:rFonts w:cs="Times New Roman"/>
                <w:szCs w:val="24"/>
              </w:rPr>
              <w:t>Substitute Teachers</w:t>
            </w:r>
          </w:p>
        </w:tc>
        <w:tc>
          <w:tcPr>
            <w:tcW w:w="3995" w:type="dxa"/>
            <w:vAlign w:val="center"/>
          </w:tcPr>
          <w:p w:rsidR="00795E54" w:rsidRPr="00F40195" w:rsidRDefault="00DC2CAA" w:rsidP="00747BDE">
            <w:pPr>
              <w:spacing w:line="240" w:lineRule="auto"/>
              <w:contextualSpacing/>
              <w:jc w:val="center"/>
              <w:rPr>
                <w:rFonts w:cs="Times New Roman"/>
                <w:szCs w:val="24"/>
              </w:rPr>
            </w:pPr>
            <w:r w:rsidRPr="00F40195">
              <w:rPr>
                <w:rFonts w:cs="Times New Roman"/>
                <w:szCs w:val="24"/>
              </w:rPr>
              <w:t>5% extra classroom</w:t>
            </w:r>
            <w:r w:rsidR="00795E54" w:rsidRPr="00F40195">
              <w:rPr>
                <w:rFonts w:cs="Times New Roman"/>
                <w:szCs w:val="24"/>
              </w:rPr>
              <w:t>, specialist, SPED &amp; instructional coaches:</w:t>
            </w:r>
            <w:r w:rsidR="00FC5186" w:rsidRPr="00F40195">
              <w:rPr>
                <w:rFonts w:cs="Times New Roman"/>
                <w:szCs w:val="24"/>
              </w:rPr>
              <w:t xml:space="preserve">  </w:t>
            </w:r>
            <w:r w:rsidR="00795E54" w:rsidRPr="00F40195">
              <w:rPr>
                <w:rFonts w:cs="Times New Roman"/>
                <w:szCs w:val="24"/>
              </w:rPr>
              <w:t>0.</w:t>
            </w:r>
            <w:r w:rsidR="00AB2AE0" w:rsidRPr="00F40195">
              <w:rPr>
                <w:rFonts w:cs="Times New Roman"/>
                <w:szCs w:val="24"/>
              </w:rPr>
              <w:t>7</w:t>
            </w:r>
            <w:r w:rsidR="000B1ABC" w:rsidRPr="00F40195">
              <w:rPr>
                <w:rFonts w:cs="Times New Roman"/>
                <w:szCs w:val="24"/>
              </w:rPr>
              <w:t>8</w:t>
            </w:r>
          </w:p>
        </w:tc>
      </w:tr>
      <w:tr w:rsidR="00795E54" w:rsidRPr="00F40195" w:rsidTr="00747BDE">
        <w:trPr>
          <w:trHeight w:val="264"/>
          <w:jc w:val="center"/>
        </w:trPr>
        <w:tc>
          <w:tcPr>
            <w:tcW w:w="3821" w:type="dxa"/>
            <w:vAlign w:val="center"/>
          </w:tcPr>
          <w:p w:rsidR="00795E54" w:rsidRPr="00F40195" w:rsidRDefault="00795E54" w:rsidP="00F40195">
            <w:pPr>
              <w:spacing w:line="240" w:lineRule="auto"/>
              <w:ind w:left="252" w:hanging="252"/>
              <w:contextualSpacing/>
              <w:rPr>
                <w:rFonts w:cs="Times New Roman"/>
                <w:szCs w:val="24"/>
              </w:rPr>
            </w:pPr>
            <w:r w:rsidRPr="00F40195">
              <w:rPr>
                <w:rFonts w:cs="Times New Roman"/>
                <w:szCs w:val="24"/>
              </w:rPr>
              <w:t>Instructional Aides</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 per classroom: 10</w:t>
            </w:r>
          </w:p>
        </w:tc>
      </w:tr>
      <w:tr w:rsidR="00795E54" w:rsidRPr="00F40195" w:rsidTr="00747BDE">
        <w:trPr>
          <w:trHeight w:val="279"/>
          <w:jc w:val="center"/>
        </w:trPr>
        <w:tc>
          <w:tcPr>
            <w:tcW w:w="3821" w:type="dxa"/>
            <w:vAlign w:val="center"/>
          </w:tcPr>
          <w:p w:rsidR="00795E54" w:rsidRPr="00F40195" w:rsidRDefault="00795E54" w:rsidP="00F40195">
            <w:pPr>
              <w:spacing w:line="240" w:lineRule="auto"/>
              <w:ind w:left="252" w:hanging="252"/>
              <w:contextualSpacing/>
              <w:rPr>
                <w:rFonts w:cs="Times New Roman"/>
                <w:szCs w:val="24"/>
              </w:rPr>
            </w:pPr>
            <w:r w:rsidRPr="00F40195">
              <w:rPr>
                <w:rFonts w:cs="Times New Roman"/>
                <w:szCs w:val="24"/>
              </w:rPr>
              <w:t>Supervisory Aides</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.75</w:t>
            </w:r>
          </w:p>
        </w:tc>
      </w:tr>
      <w:tr w:rsidR="00795E54" w:rsidRPr="00F40195" w:rsidTr="00747BDE">
        <w:trPr>
          <w:trHeight w:val="529"/>
          <w:jc w:val="center"/>
        </w:trPr>
        <w:tc>
          <w:tcPr>
            <w:tcW w:w="3821" w:type="dxa"/>
            <w:vAlign w:val="center"/>
          </w:tcPr>
          <w:p w:rsidR="00795E54" w:rsidRPr="00F40195" w:rsidRDefault="00795E54" w:rsidP="00F40195">
            <w:pPr>
              <w:spacing w:line="240" w:lineRule="auto"/>
              <w:ind w:left="432" w:hanging="432"/>
              <w:contextualSpacing/>
              <w:rPr>
                <w:rFonts w:cs="Times New Roman"/>
                <w:szCs w:val="24"/>
              </w:rPr>
            </w:pPr>
            <w:r w:rsidRPr="00F40195">
              <w:rPr>
                <w:rFonts w:cs="Times New Roman"/>
                <w:szCs w:val="24"/>
              </w:rPr>
              <w:t>Assistant Principal/ Program Coordinator</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w:t>
            </w:r>
            <w:r w:rsidR="0087523B" w:rsidRPr="00F40195">
              <w:rPr>
                <w:rFonts w:cs="Times New Roman"/>
                <w:szCs w:val="24"/>
              </w:rPr>
              <w:t>.0</w:t>
            </w:r>
          </w:p>
        </w:tc>
      </w:tr>
      <w:tr w:rsidR="00795E54" w:rsidRPr="00F40195" w:rsidTr="00747BDE">
        <w:trPr>
          <w:trHeight w:val="264"/>
          <w:jc w:val="center"/>
        </w:trPr>
        <w:tc>
          <w:tcPr>
            <w:tcW w:w="3821" w:type="dxa"/>
            <w:vAlign w:val="center"/>
          </w:tcPr>
          <w:p w:rsidR="00795E54" w:rsidRPr="00F40195" w:rsidRDefault="00780E75" w:rsidP="00F40195">
            <w:pPr>
              <w:spacing w:line="240" w:lineRule="auto"/>
              <w:ind w:left="432" w:hanging="432"/>
              <w:contextualSpacing/>
              <w:rPr>
                <w:rFonts w:cs="Times New Roman"/>
                <w:szCs w:val="24"/>
              </w:rPr>
            </w:pPr>
            <w:r w:rsidRPr="00F40195">
              <w:rPr>
                <w:rFonts w:cs="Times New Roman"/>
                <w:szCs w:val="24"/>
              </w:rPr>
              <w:t>Program</w:t>
            </w:r>
            <w:r w:rsidR="00795E54" w:rsidRPr="00F40195">
              <w:rPr>
                <w:rFonts w:cs="Times New Roman"/>
                <w:szCs w:val="24"/>
              </w:rPr>
              <w:t xml:space="preserve"> Site Secretary</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w:t>
            </w:r>
            <w:r w:rsidR="0087523B" w:rsidRPr="00F40195">
              <w:rPr>
                <w:rFonts w:cs="Times New Roman"/>
                <w:szCs w:val="24"/>
              </w:rPr>
              <w:t>.0</w:t>
            </w:r>
          </w:p>
        </w:tc>
      </w:tr>
      <w:tr w:rsidR="00795E54" w:rsidRPr="00F40195" w:rsidTr="00747BDE">
        <w:trPr>
          <w:trHeight w:val="264"/>
          <w:jc w:val="center"/>
        </w:trPr>
        <w:tc>
          <w:tcPr>
            <w:tcW w:w="3821" w:type="dxa"/>
            <w:vAlign w:val="center"/>
          </w:tcPr>
          <w:p w:rsidR="00795E54" w:rsidRPr="00F40195" w:rsidRDefault="00795E54" w:rsidP="00F40195">
            <w:pPr>
              <w:spacing w:line="240" w:lineRule="auto"/>
              <w:jc w:val="center"/>
              <w:rPr>
                <w:rFonts w:cs="Times New Roman"/>
              </w:rPr>
            </w:pPr>
            <w:r w:rsidRPr="00F40195">
              <w:rPr>
                <w:rFonts w:cs="Times New Roman"/>
                <w:b/>
              </w:rPr>
              <w:t>Dollar per Pupil</w:t>
            </w:r>
          </w:p>
        </w:tc>
        <w:tc>
          <w:tcPr>
            <w:tcW w:w="3995" w:type="dxa"/>
            <w:vAlign w:val="center"/>
          </w:tcPr>
          <w:p w:rsidR="00795E54" w:rsidRPr="00F40195" w:rsidRDefault="00795E54" w:rsidP="00F40195">
            <w:pPr>
              <w:spacing w:line="240" w:lineRule="auto"/>
              <w:contextualSpacing/>
              <w:jc w:val="center"/>
              <w:rPr>
                <w:rFonts w:cs="Times New Roman"/>
                <w:szCs w:val="24"/>
              </w:rPr>
            </w:pPr>
          </w:p>
        </w:tc>
      </w:tr>
      <w:tr w:rsidR="00795E54" w:rsidRPr="00F40195" w:rsidTr="00747BDE">
        <w:trPr>
          <w:trHeight w:val="543"/>
          <w:jc w:val="center"/>
        </w:trPr>
        <w:tc>
          <w:tcPr>
            <w:tcW w:w="3821" w:type="dxa"/>
            <w:vAlign w:val="center"/>
          </w:tcPr>
          <w:p w:rsidR="00795E54" w:rsidRPr="00F40195" w:rsidRDefault="00795E54" w:rsidP="00F40195">
            <w:pPr>
              <w:spacing w:line="240" w:lineRule="auto"/>
              <w:ind w:hanging="432"/>
              <w:contextualSpacing/>
              <w:rPr>
                <w:rFonts w:cs="Times New Roman"/>
                <w:szCs w:val="24"/>
              </w:rPr>
            </w:pPr>
            <w:r w:rsidRPr="00F40195">
              <w:rPr>
                <w:rFonts w:cs="Times New Roman"/>
                <w:szCs w:val="24"/>
              </w:rPr>
              <w:t>17</w:t>
            </w:r>
            <w:r w:rsidR="009739FE" w:rsidRPr="00F40195">
              <w:rPr>
                <w:rFonts w:cs="Times New Roman"/>
                <w:szCs w:val="24"/>
              </w:rPr>
              <w:t xml:space="preserve">. </w:t>
            </w:r>
            <w:r w:rsidRPr="00F40195">
              <w:rPr>
                <w:rFonts w:cs="Times New Roman"/>
                <w:szCs w:val="24"/>
              </w:rPr>
              <w:t xml:space="preserve"> Professional development</w:t>
            </w:r>
          </w:p>
          <w:p w:rsidR="00795E54" w:rsidRPr="00F40195" w:rsidRDefault="00795E54" w:rsidP="00F40195">
            <w:pPr>
              <w:spacing w:line="240" w:lineRule="auto"/>
              <w:ind w:hanging="432"/>
              <w:contextualSpacing/>
              <w:rPr>
                <w:rFonts w:cs="Times New Roman"/>
                <w:szCs w:val="24"/>
              </w:rPr>
            </w:pP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$100/</w:t>
            </w:r>
            <w:r w:rsidR="00034549" w:rsidRPr="00F40195">
              <w:rPr>
                <w:rFonts w:cs="Times New Roman"/>
                <w:szCs w:val="24"/>
              </w:rPr>
              <w:t>student</w:t>
            </w:r>
          </w:p>
        </w:tc>
      </w:tr>
      <w:tr w:rsidR="00795E54" w:rsidRPr="00F40195" w:rsidTr="00747BDE">
        <w:trPr>
          <w:trHeight w:val="264"/>
          <w:jc w:val="center"/>
        </w:trPr>
        <w:tc>
          <w:tcPr>
            <w:tcW w:w="3821" w:type="dxa"/>
            <w:vAlign w:val="center"/>
          </w:tcPr>
          <w:p w:rsidR="00795E54" w:rsidRPr="00F40195" w:rsidRDefault="00795E54" w:rsidP="00F40195">
            <w:pPr>
              <w:spacing w:line="240" w:lineRule="auto"/>
              <w:ind w:hanging="432"/>
              <w:contextualSpacing/>
              <w:rPr>
                <w:rFonts w:cs="Times New Roman"/>
                <w:szCs w:val="24"/>
              </w:rPr>
            </w:pPr>
            <w:r w:rsidRPr="00F40195">
              <w:rPr>
                <w:rFonts w:cs="Times New Roman"/>
                <w:szCs w:val="24"/>
              </w:rPr>
              <w:t>18</w:t>
            </w:r>
            <w:r w:rsidR="009739FE" w:rsidRPr="00F40195">
              <w:rPr>
                <w:rFonts w:cs="Times New Roman"/>
                <w:szCs w:val="24"/>
              </w:rPr>
              <w:t xml:space="preserve">. </w:t>
            </w:r>
            <w:r w:rsidRPr="00F40195">
              <w:rPr>
                <w:rFonts w:cs="Times New Roman"/>
                <w:szCs w:val="24"/>
              </w:rPr>
              <w:t xml:space="preserve"> Technology/equipment</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$250/</w:t>
            </w:r>
            <w:r w:rsidR="00034549" w:rsidRPr="00F40195">
              <w:rPr>
                <w:rFonts w:cs="Times New Roman"/>
                <w:szCs w:val="24"/>
              </w:rPr>
              <w:t>student</w:t>
            </w:r>
          </w:p>
        </w:tc>
      </w:tr>
      <w:tr w:rsidR="00795E54" w:rsidRPr="00F40195" w:rsidTr="00747BDE">
        <w:trPr>
          <w:trHeight w:val="529"/>
          <w:jc w:val="center"/>
        </w:trPr>
        <w:tc>
          <w:tcPr>
            <w:tcW w:w="3821" w:type="dxa"/>
            <w:vAlign w:val="center"/>
          </w:tcPr>
          <w:p w:rsidR="00795E54" w:rsidRPr="00F40195" w:rsidRDefault="00795E54" w:rsidP="00F40195">
            <w:pPr>
              <w:spacing w:line="240" w:lineRule="auto"/>
              <w:contextualSpacing/>
              <w:rPr>
                <w:rFonts w:cs="Times New Roman"/>
                <w:szCs w:val="24"/>
              </w:rPr>
            </w:pPr>
            <w:r w:rsidRPr="00F40195">
              <w:rPr>
                <w:rFonts w:cs="Times New Roman"/>
                <w:szCs w:val="24"/>
              </w:rPr>
              <w:t>Instructional Materials including Library Resources</w:t>
            </w:r>
          </w:p>
        </w:tc>
        <w:tc>
          <w:tcPr>
            <w:tcW w:w="3995" w:type="dxa"/>
            <w:vAlign w:val="center"/>
          </w:tcPr>
          <w:p w:rsidR="00795E54" w:rsidRPr="00F40195" w:rsidRDefault="00795E54" w:rsidP="00F40195">
            <w:pPr>
              <w:spacing w:line="240" w:lineRule="auto"/>
              <w:contextualSpacing/>
              <w:jc w:val="center"/>
              <w:rPr>
                <w:rFonts w:cs="Times New Roman"/>
                <w:szCs w:val="24"/>
              </w:rPr>
            </w:pPr>
            <w:r w:rsidRPr="00F40195">
              <w:rPr>
                <w:rFonts w:cs="Times New Roman"/>
                <w:szCs w:val="24"/>
              </w:rPr>
              <w:t>$140/</w:t>
            </w:r>
            <w:r w:rsidR="00034549" w:rsidRPr="00F40195">
              <w:rPr>
                <w:rFonts w:cs="Times New Roman"/>
                <w:szCs w:val="24"/>
              </w:rPr>
              <w:t>student</w:t>
            </w:r>
          </w:p>
        </w:tc>
      </w:tr>
      <w:tr w:rsidR="00795E54" w:rsidRPr="00F40195" w:rsidTr="00747BDE">
        <w:trPr>
          <w:trHeight w:val="264"/>
          <w:jc w:val="center"/>
        </w:trPr>
        <w:tc>
          <w:tcPr>
            <w:tcW w:w="3821" w:type="dxa"/>
            <w:tcBorders>
              <w:bottom w:val="single" w:sz="24" w:space="0" w:color="auto"/>
            </w:tcBorders>
            <w:vAlign w:val="center"/>
          </w:tcPr>
          <w:p w:rsidR="00795E54" w:rsidRPr="00F40195" w:rsidRDefault="00795E54" w:rsidP="00F40195">
            <w:pPr>
              <w:spacing w:line="240" w:lineRule="auto"/>
              <w:ind w:hanging="18"/>
              <w:contextualSpacing/>
              <w:rPr>
                <w:rFonts w:cs="Times New Roman"/>
                <w:szCs w:val="24"/>
              </w:rPr>
            </w:pPr>
            <w:r w:rsidRPr="00F40195">
              <w:rPr>
                <w:rFonts w:cs="Times New Roman"/>
                <w:szCs w:val="24"/>
              </w:rPr>
              <w:t xml:space="preserve">Short Cycle </w:t>
            </w:r>
            <w:r w:rsidR="000274C3" w:rsidRPr="00F40195">
              <w:rPr>
                <w:rFonts w:cs="Times New Roman"/>
                <w:szCs w:val="24"/>
              </w:rPr>
              <w:t xml:space="preserve">formative </w:t>
            </w:r>
            <w:r w:rsidRPr="00F40195">
              <w:rPr>
                <w:rFonts w:cs="Times New Roman"/>
                <w:szCs w:val="24"/>
              </w:rPr>
              <w:t xml:space="preserve">Assessments </w:t>
            </w:r>
          </w:p>
        </w:tc>
        <w:tc>
          <w:tcPr>
            <w:tcW w:w="3995" w:type="dxa"/>
            <w:tcBorders>
              <w:bottom w:val="single" w:sz="24" w:space="0" w:color="auto"/>
            </w:tcBorders>
            <w:vAlign w:val="center"/>
          </w:tcPr>
          <w:p w:rsidR="00795E54" w:rsidRPr="00F40195" w:rsidRDefault="00795E54" w:rsidP="00F40195">
            <w:pPr>
              <w:spacing w:line="240" w:lineRule="auto"/>
              <w:contextualSpacing/>
              <w:jc w:val="center"/>
              <w:rPr>
                <w:rFonts w:cs="Times New Roman"/>
                <w:iCs/>
                <w:szCs w:val="24"/>
              </w:rPr>
            </w:pPr>
            <w:r w:rsidRPr="00F40195">
              <w:rPr>
                <w:rFonts w:cs="Times New Roman"/>
                <w:szCs w:val="24"/>
              </w:rPr>
              <w:t>$25/</w:t>
            </w:r>
            <w:r w:rsidR="00034549" w:rsidRPr="00F40195">
              <w:rPr>
                <w:rFonts w:cs="Times New Roman"/>
                <w:szCs w:val="24"/>
              </w:rPr>
              <w:t>student</w:t>
            </w:r>
          </w:p>
        </w:tc>
      </w:tr>
    </w:tbl>
    <w:p w:rsidR="00F028AD" w:rsidRDefault="00F028AD" w:rsidP="00F40195">
      <w:pPr>
        <w:spacing w:line="240" w:lineRule="auto"/>
        <w:jc w:val="center"/>
        <w:rPr>
          <w:rFonts w:cs="Times New Roman"/>
          <w:b/>
          <w:bCs/>
        </w:rPr>
      </w:pPr>
      <w:bookmarkStart w:id="83" w:name="_Toc47974474"/>
    </w:p>
    <w:p w:rsidR="00F028AD" w:rsidRDefault="00F028AD" w:rsidP="00F40195">
      <w:pPr>
        <w:spacing w:line="240" w:lineRule="auto"/>
        <w:jc w:val="center"/>
        <w:rPr>
          <w:rFonts w:cs="Times New Roman"/>
          <w:b/>
          <w:bCs/>
        </w:rPr>
      </w:pPr>
    </w:p>
    <w:p w:rsidR="00A671D9" w:rsidRPr="007C7ED9" w:rsidRDefault="004334A9" w:rsidP="003D442F">
      <w:pPr>
        <w:spacing w:line="240" w:lineRule="auto"/>
        <w:jc w:val="center"/>
        <w:rPr>
          <w:rFonts w:cs="Times New Roman"/>
          <w:b/>
          <w:bCs/>
        </w:rPr>
      </w:pPr>
      <w:r>
        <w:rPr>
          <w:rFonts w:cs="Times New Roman"/>
          <w:b/>
          <w:bCs/>
        </w:rPr>
        <w:t>Table 4.</w:t>
      </w:r>
      <w:r w:rsidR="00860681">
        <w:rPr>
          <w:rFonts w:cs="Times New Roman"/>
          <w:b/>
          <w:bCs/>
        </w:rPr>
        <w:t>4</w:t>
      </w:r>
      <w:r w:rsidR="00A671D9" w:rsidRPr="007C7ED9">
        <w:rPr>
          <w:rFonts w:cs="Times New Roman"/>
          <w:b/>
          <w:bCs/>
        </w:rPr>
        <w:t>:</w:t>
      </w:r>
    </w:p>
    <w:p w:rsidR="00A671D9" w:rsidRPr="00F40195" w:rsidRDefault="00A671D9" w:rsidP="00F40195">
      <w:pPr>
        <w:spacing w:line="240" w:lineRule="auto"/>
        <w:jc w:val="center"/>
        <w:rPr>
          <w:rFonts w:cs="Times New Roman"/>
          <w:bCs/>
        </w:rPr>
      </w:pPr>
      <w:r w:rsidRPr="007C7ED9">
        <w:rPr>
          <w:rFonts w:cs="Times New Roman"/>
          <w:b/>
          <w:bCs/>
        </w:rPr>
        <w:t>EB Model for Small Districts</w:t>
      </w:r>
    </w:p>
    <w:p w:rsidR="00A671D9" w:rsidRDefault="00A671D9" w:rsidP="00F40195">
      <w:pPr>
        <w:spacing w:line="240" w:lineRule="auto"/>
        <w:rPr>
          <w:rFonts w:cs="Times New Roman"/>
        </w:rPr>
      </w:pPr>
    </w:p>
    <w:p w:rsidR="00BB6264" w:rsidRDefault="00BB6264" w:rsidP="00F40195">
      <w:pPr>
        <w:spacing w:line="240" w:lineRule="auto"/>
        <w:rPr>
          <w:rFonts w:cs="Times New Roman"/>
        </w:rPr>
      </w:pPr>
      <w:r w:rsidRPr="00BB6264">
        <w:rPr>
          <w:noProof/>
        </w:rPr>
        <w:drawing>
          <wp:inline distT="0" distB="0" distL="0" distR="0">
            <wp:extent cx="5160004" cy="6336340"/>
            <wp:effectExtent l="0" t="0" r="317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8735" cy="6334781"/>
                    </a:xfrm>
                    <a:prstGeom prst="rect">
                      <a:avLst/>
                    </a:prstGeom>
                    <a:noFill/>
                    <a:ln>
                      <a:noFill/>
                    </a:ln>
                  </pic:spPr>
                </pic:pic>
              </a:graphicData>
            </a:graphic>
          </wp:inline>
        </w:drawing>
      </w:r>
    </w:p>
    <w:p w:rsidR="00A671D9" w:rsidRPr="00F40195" w:rsidRDefault="00A671D9" w:rsidP="00F40195">
      <w:pPr>
        <w:spacing w:line="240" w:lineRule="auto"/>
        <w:rPr>
          <w:rFonts w:cs="Times New Roman"/>
        </w:rPr>
      </w:pPr>
    </w:p>
    <w:p w:rsidR="00C903BA" w:rsidRDefault="00C903BA">
      <w:pPr>
        <w:rPr>
          <w:rFonts w:cs="Times New Roman"/>
        </w:rPr>
      </w:pPr>
      <w:r>
        <w:rPr>
          <w:rFonts w:cs="Times New Roman"/>
        </w:rPr>
        <w:br w:type="page"/>
      </w:r>
    </w:p>
    <w:p w:rsidR="00C903BA" w:rsidRPr="007C7ED9" w:rsidRDefault="003409AD" w:rsidP="00C903BA">
      <w:pPr>
        <w:spacing w:line="240" w:lineRule="auto"/>
        <w:jc w:val="center"/>
        <w:rPr>
          <w:rFonts w:cs="Times New Roman"/>
          <w:b/>
          <w:bCs/>
        </w:rPr>
      </w:pPr>
      <w:r>
        <w:rPr>
          <w:rFonts w:cs="Times New Roman"/>
          <w:b/>
          <w:bCs/>
        </w:rPr>
        <w:lastRenderedPageBreak/>
        <w:t>Table 4.5</w:t>
      </w:r>
      <w:r w:rsidR="00C903BA" w:rsidRPr="007C7ED9">
        <w:rPr>
          <w:rFonts w:cs="Times New Roman"/>
          <w:b/>
          <w:bCs/>
        </w:rPr>
        <w:t>:</w:t>
      </w:r>
    </w:p>
    <w:p w:rsidR="00C903BA" w:rsidRPr="00F40195" w:rsidRDefault="003409AD" w:rsidP="00C903BA">
      <w:pPr>
        <w:spacing w:line="240" w:lineRule="auto"/>
        <w:jc w:val="center"/>
        <w:rPr>
          <w:rFonts w:cs="Times New Roman"/>
          <w:bCs/>
        </w:rPr>
      </w:pPr>
      <w:r>
        <w:rPr>
          <w:rFonts w:cs="Times New Roman"/>
          <w:b/>
          <w:bCs/>
        </w:rPr>
        <w:t>Kentucky Prototypical Central Office</w:t>
      </w:r>
      <w:r w:rsidR="009E20FE">
        <w:rPr>
          <w:rFonts w:cs="Times New Roman"/>
          <w:b/>
          <w:bCs/>
        </w:rPr>
        <w:t xml:space="preserve"> (3900 Students)</w:t>
      </w:r>
    </w:p>
    <w:p w:rsidR="00A671D9" w:rsidRDefault="00A671D9" w:rsidP="00F40195">
      <w:pPr>
        <w:spacing w:line="240" w:lineRule="auto"/>
        <w:rPr>
          <w:rFonts w:cs="Times New Roman"/>
        </w:rPr>
      </w:pPr>
    </w:p>
    <w:p w:rsidR="00C903BA" w:rsidRPr="00F40195" w:rsidRDefault="009E20FE" w:rsidP="003409AD">
      <w:pPr>
        <w:spacing w:line="240" w:lineRule="auto"/>
        <w:jc w:val="center"/>
        <w:rPr>
          <w:rFonts w:cs="Times New Roman"/>
        </w:rPr>
      </w:pPr>
      <w:r w:rsidRPr="009E20FE">
        <w:rPr>
          <w:noProof/>
        </w:rPr>
        <w:drawing>
          <wp:inline distT="0" distB="0" distL="0" distR="0">
            <wp:extent cx="3335655" cy="68179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5655" cy="6817995"/>
                    </a:xfrm>
                    <a:prstGeom prst="rect">
                      <a:avLst/>
                    </a:prstGeom>
                    <a:noFill/>
                    <a:ln>
                      <a:noFill/>
                    </a:ln>
                  </pic:spPr>
                </pic:pic>
              </a:graphicData>
            </a:graphic>
          </wp:inline>
        </w:drawing>
      </w:r>
    </w:p>
    <w:p w:rsidR="003409AD" w:rsidRDefault="003409AD">
      <w:pPr>
        <w:rPr>
          <w:rFonts w:eastAsiaTheme="majorEastAsia" w:cs="Times New Roman"/>
          <w:b/>
          <w:bCs/>
          <w:caps/>
          <w:szCs w:val="24"/>
        </w:rPr>
      </w:pPr>
      <w:bookmarkStart w:id="84" w:name="_Toc395180676"/>
      <w:r>
        <w:br w:type="page"/>
      </w:r>
    </w:p>
    <w:p w:rsidR="006B6B73" w:rsidRPr="00F40195" w:rsidRDefault="006B6B73" w:rsidP="007162A8">
      <w:pPr>
        <w:pStyle w:val="Heading2"/>
      </w:pPr>
      <w:r w:rsidRPr="00F40195">
        <w:lastRenderedPageBreak/>
        <w:t>A. Student Counts, Preschool, Kindergarten and School Size</w:t>
      </w:r>
      <w:r w:rsidR="00AC29DE" w:rsidRPr="00F40195">
        <w:t xml:space="preserve"> Adjustments</w:t>
      </w:r>
      <w:bookmarkEnd w:id="84"/>
    </w:p>
    <w:p w:rsidR="006B6B73" w:rsidRPr="00F40195" w:rsidRDefault="006B6B73" w:rsidP="00F40195">
      <w:pPr>
        <w:spacing w:line="240" w:lineRule="auto"/>
        <w:rPr>
          <w:rFonts w:cs="Times New Roman"/>
        </w:rPr>
      </w:pPr>
      <w:r w:rsidRPr="00F40195">
        <w:rPr>
          <w:rFonts w:cs="Times New Roman"/>
        </w:rPr>
        <w:t xml:space="preserve">This section includes discussion of four elements: </w:t>
      </w:r>
      <w:r w:rsidR="00AC29DE" w:rsidRPr="00F40195">
        <w:rPr>
          <w:rFonts w:cs="Times New Roman"/>
        </w:rPr>
        <w:t xml:space="preserve"> student</w:t>
      </w:r>
      <w:r w:rsidRPr="00F40195">
        <w:rPr>
          <w:rFonts w:cs="Times New Roman"/>
        </w:rPr>
        <w:t xml:space="preserve"> counts for the state a</w:t>
      </w:r>
      <w:r w:rsidR="00AC29DE" w:rsidRPr="00F40195">
        <w:rPr>
          <w:rFonts w:cs="Times New Roman"/>
        </w:rPr>
        <w:t xml:space="preserve">id formula, preschool, </w:t>
      </w:r>
      <w:r w:rsidRPr="00F40195">
        <w:rPr>
          <w:rFonts w:cs="Times New Roman"/>
        </w:rPr>
        <w:t xml:space="preserve">kindergarten and school size. </w:t>
      </w:r>
      <w:bookmarkEnd w:id="83"/>
      <w:r w:rsidRPr="00F40195">
        <w:rPr>
          <w:rFonts w:cs="Times New Roman"/>
        </w:rPr>
        <w:t xml:space="preserve">These elements serve to set the stage for the rest of the analysis </w:t>
      </w:r>
      <w:r w:rsidR="005236CA" w:rsidRPr="00F40195">
        <w:rPr>
          <w:rFonts w:cs="Times New Roman"/>
        </w:rPr>
        <w:t xml:space="preserve">relative to the SEEK formula </w:t>
      </w:r>
      <w:r w:rsidRPr="00F40195">
        <w:rPr>
          <w:rFonts w:cs="Times New Roman"/>
        </w:rPr>
        <w:t>as they define the parameters used—who is counted, how they are counted, and the assumptions we make regarding the prototypical school size.</w:t>
      </w:r>
      <w:r w:rsidR="005236CA" w:rsidRPr="00F40195">
        <w:rPr>
          <w:rFonts w:cs="Times New Roman"/>
        </w:rPr>
        <w:t xml:space="preserve"> </w:t>
      </w:r>
    </w:p>
    <w:p w:rsidR="006B6B73" w:rsidRPr="00F40195" w:rsidRDefault="006B6B73" w:rsidP="00F40195">
      <w:pPr>
        <w:spacing w:line="240" w:lineRule="auto"/>
        <w:rPr>
          <w:rFonts w:cs="Times New Roman"/>
        </w:rPr>
      </w:pPr>
    </w:p>
    <w:p w:rsidR="006B6B73" w:rsidRPr="00F40195" w:rsidRDefault="006B6B73" w:rsidP="008D674A">
      <w:pPr>
        <w:pStyle w:val="Heading3"/>
      </w:pPr>
      <w:bookmarkStart w:id="85" w:name="_Toc395180677"/>
      <w:r w:rsidRPr="00F40195">
        <w:t xml:space="preserve">A.1 Student Counts for Calculating </w:t>
      </w:r>
      <w:r w:rsidR="00E127DB" w:rsidRPr="00F40195">
        <w:t>Base Aid</w:t>
      </w:r>
      <w:bookmarkEnd w:id="85"/>
      <w:r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06002E" w:rsidP="00F40195">
            <w:pPr>
              <w:pStyle w:val="Default"/>
              <w:rPr>
                <w:rFonts w:eastAsiaTheme="minorHAnsi"/>
                <w:szCs w:val="22"/>
              </w:rPr>
            </w:pPr>
            <w:r w:rsidRPr="00F40195">
              <w:rPr>
                <w:rFonts w:eastAsiaTheme="minorHAnsi"/>
                <w:b/>
                <w:szCs w:val="22"/>
              </w:rPr>
              <w:t>Guaranteed Base</w:t>
            </w:r>
            <w:r w:rsidRPr="00F40195">
              <w:rPr>
                <w:rFonts w:eastAsiaTheme="minorHAnsi"/>
                <w:szCs w:val="22"/>
              </w:rPr>
              <w:t xml:space="preserve">:  </w:t>
            </w:r>
            <w:r w:rsidR="007C6840" w:rsidRPr="00F40195">
              <w:rPr>
                <w:rFonts w:eastAsiaTheme="minorHAnsi"/>
                <w:szCs w:val="22"/>
              </w:rPr>
              <w:t xml:space="preserve">Kentucky </w:t>
            </w:r>
            <w:r w:rsidR="005D3A68" w:rsidRPr="00F40195">
              <w:rPr>
                <w:rFonts w:eastAsiaTheme="minorHAnsi"/>
                <w:szCs w:val="22"/>
              </w:rPr>
              <w:t xml:space="preserve">uses an Adjusted </w:t>
            </w:r>
            <w:r w:rsidR="007C6840" w:rsidRPr="00F40195">
              <w:rPr>
                <w:rFonts w:eastAsiaTheme="minorHAnsi"/>
                <w:szCs w:val="22"/>
              </w:rPr>
              <w:t>Average Daily Attendance (</w:t>
            </w:r>
            <w:r w:rsidR="005D3A68" w:rsidRPr="00F40195">
              <w:rPr>
                <w:rFonts w:eastAsiaTheme="minorHAnsi"/>
                <w:szCs w:val="22"/>
              </w:rPr>
              <w:t>A</w:t>
            </w:r>
            <w:r w:rsidR="007C6840" w:rsidRPr="00F40195">
              <w:rPr>
                <w:rFonts w:eastAsiaTheme="minorHAnsi"/>
                <w:szCs w:val="22"/>
              </w:rPr>
              <w:t>ADA) in the SEEK formula.</w:t>
            </w:r>
            <w:r w:rsidR="00E16D93" w:rsidRPr="00F40195">
              <w:rPr>
                <w:rFonts w:eastAsiaTheme="minorHAnsi"/>
                <w:szCs w:val="22"/>
              </w:rPr>
              <w:t xml:space="preserve"> End count from previous year is adjusted for weather-related low attendance days as well as the lowest five days of attendance. Adjustments are made for current year increases, if applicable</w:t>
            </w:r>
            <w:r w:rsidR="002B77DC" w:rsidRPr="00F40195">
              <w:rPr>
                <w:rFonts w:eastAsiaTheme="minorHAnsi"/>
                <w:szCs w:val="22"/>
              </w:rPr>
              <w:t>,</w:t>
            </w:r>
            <w:r w:rsidR="00652C96" w:rsidRPr="00F40195">
              <w:rPr>
                <w:rFonts w:eastAsiaTheme="minorHAnsi"/>
                <w:szCs w:val="22"/>
              </w:rPr>
              <w:t xml:space="preserve"> and not made for declines in current year </w:t>
            </w:r>
            <w:r w:rsidR="006F101D" w:rsidRPr="00F40195">
              <w:rPr>
                <w:rFonts w:eastAsiaTheme="minorHAnsi"/>
                <w:szCs w:val="22"/>
              </w:rPr>
              <w:t>A</w:t>
            </w:r>
            <w:r w:rsidR="00652C96" w:rsidRPr="00F40195">
              <w:rPr>
                <w:rFonts w:eastAsiaTheme="minorHAnsi"/>
                <w:szCs w:val="22"/>
              </w:rPr>
              <w:t>ADA.</w:t>
            </w:r>
            <w:r w:rsidR="00C4462A">
              <w:rPr>
                <w:rFonts w:eastAsiaTheme="minorHAnsi"/>
                <w:szCs w:val="22"/>
              </w:rPr>
              <w:t xml:space="preserve"> </w:t>
            </w:r>
          </w:p>
          <w:p w:rsidR="007C6840" w:rsidRPr="00F40195" w:rsidRDefault="007C6840" w:rsidP="00F40195">
            <w:pPr>
              <w:pStyle w:val="Default"/>
              <w:rPr>
                <w:rFonts w:eastAsiaTheme="minorHAnsi"/>
                <w:szCs w:val="22"/>
              </w:rPr>
            </w:pPr>
          </w:p>
          <w:p w:rsidR="007C6840" w:rsidRPr="00F40195" w:rsidRDefault="007C6840" w:rsidP="00F40195">
            <w:pPr>
              <w:pStyle w:val="Default"/>
              <w:rPr>
                <w:rFonts w:eastAsiaTheme="minorHAnsi"/>
                <w:szCs w:val="22"/>
              </w:rPr>
            </w:pPr>
          </w:p>
        </w:tc>
        <w:tc>
          <w:tcPr>
            <w:tcW w:w="4788" w:type="dxa"/>
          </w:tcPr>
          <w:p w:rsidR="006B6B73" w:rsidRPr="00F40195" w:rsidRDefault="006B6B73" w:rsidP="00F40195">
            <w:r w:rsidRPr="00F40195">
              <w:t xml:space="preserve">The EB approach supports </w:t>
            </w:r>
            <w:r w:rsidR="002461C2" w:rsidRPr="00F40195">
              <w:t>Kentucky</w:t>
            </w:r>
            <w:r w:rsidRPr="00F40195">
              <w:t xml:space="preserve">’s use of </w:t>
            </w:r>
            <w:r w:rsidR="003056F4" w:rsidRPr="00F40195">
              <w:t>an</w:t>
            </w:r>
            <w:r w:rsidR="006F100E" w:rsidRPr="00F40195">
              <w:t xml:space="preserve"> ADM </w:t>
            </w:r>
            <w:r w:rsidRPr="00F40195">
              <w:t>count</w:t>
            </w:r>
            <w:r w:rsidR="008415FD">
              <w:t>, instead of an AADA count</w:t>
            </w:r>
            <w:r w:rsidRPr="00F40195">
              <w:t xml:space="preserve"> for the </w:t>
            </w:r>
            <w:r w:rsidR="007C6840" w:rsidRPr="00F40195">
              <w:t xml:space="preserve">basic </w:t>
            </w:r>
            <w:r w:rsidRPr="00F40195">
              <w:t xml:space="preserve">aid formula. </w:t>
            </w:r>
          </w:p>
          <w:p w:rsidR="006B6B73" w:rsidRPr="00F40195" w:rsidRDefault="006B6B73" w:rsidP="00F40195"/>
          <w:p w:rsidR="006B6B73" w:rsidRPr="00F40195" w:rsidRDefault="006B6B73" w:rsidP="00F40195">
            <w:r w:rsidRPr="00F40195">
              <w:t xml:space="preserve">In addition, the EB approach would use the greater of a rolling three-year </w:t>
            </w:r>
            <w:r w:rsidR="006F101D" w:rsidRPr="00F40195">
              <w:t>ADM</w:t>
            </w:r>
            <w:r w:rsidR="003056F4" w:rsidRPr="00F40195">
              <w:t xml:space="preserve"> (e.g., from SY</w:t>
            </w:r>
            <w:r w:rsidR="00895980" w:rsidRPr="00F40195">
              <w:t xml:space="preserve">9, </w:t>
            </w:r>
            <w:r w:rsidR="003056F4" w:rsidRPr="00F40195">
              <w:t>SY</w:t>
            </w:r>
            <w:r w:rsidR="00895980" w:rsidRPr="00F40195">
              <w:t xml:space="preserve">10 and </w:t>
            </w:r>
            <w:r w:rsidR="003056F4" w:rsidRPr="00F40195">
              <w:t>SY</w:t>
            </w:r>
            <w:r w:rsidR="00895980" w:rsidRPr="00F40195">
              <w:t>11 for S</w:t>
            </w:r>
            <w:r w:rsidRPr="00F40195">
              <w:t>Y12 aid) or</w:t>
            </w:r>
            <w:r w:rsidR="00895980" w:rsidRPr="00F40195">
              <w:t xml:space="preserve"> the </w:t>
            </w:r>
            <w:r w:rsidR="005D3A68" w:rsidRPr="00F40195">
              <w:t>estimated/</w:t>
            </w:r>
            <w:r w:rsidR="00895980" w:rsidRPr="00F40195">
              <w:t>actual (S</w:t>
            </w:r>
            <w:r w:rsidRPr="00F40195">
              <w:t>Y 1</w:t>
            </w:r>
            <w:r w:rsidR="005D3A68" w:rsidRPr="00F40195">
              <w:t>2</w:t>
            </w:r>
            <w:r w:rsidRPr="00F40195">
              <w:t xml:space="preserve">) pupil count for </w:t>
            </w:r>
            <w:r w:rsidR="003F713A" w:rsidRPr="00F40195">
              <w:t>districts</w:t>
            </w:r>
            <w:r w:rsidRPr="00F40195">
              <w:t xml:space="preserve">, </w:t>
            </w:r>
            <w:r w:rsidR="003F713A" w:rsidRPr="00F40195">
              <w:t xml:space="preserve">the determination at the district level </w:t>
            </w:r>
            <w:r w:rsidRPr="00F40195">
              <w:t>which addresses both declining, stable or rising student counts</w:t>
            </w:r>
            <w:r w:rsidR="003F713A" w:rsidRPr="00F40195">
              <w:t>, though will not alter schools individually by this method</w:t>
            </w:r>
            <w:r w:rsidR="009739FE" w:rsidRPr="00F40195">
              <w:t xml:space="preserve">. </w:t>
            </w:r>
          </w:p>
          <w:p w:rsidR="006B6B73" w:rsidRPr="00F40195" w:rsidRDefault="006B6B73" w:rsidP="00F40195"/>
          <w:p w:rsidR="006B6B73" w:rsidRPr="00F40195" w:rsidRDefault="006B6B73" w:rsidP="00F40195">
            <w:r w:rsidRPr="00F40195">
              <w:t xml:space="preserve">The EB approach would use the same pupil count for </w:t>
            </w:r>
            <w:r w:rsidR="007C6840" w:rsidRPr="00F40195">
              <w:t>most</w:t>
            </w:r>
            <w:r w:rsidRPr="00F40195">
              <w:t xml:space="preserve"> elements of the funding system – determining property wealth per pupil, calculating state aid, </w:t>
            </w:r>
            <w:r w:rsidR="007C6840" w:rsidRPr="00F40195">
              <w:t xml:space="preserve">and </w:t>
            </w:r>
            <w:r w:rsidRPr="00F40195">
              <w:t>counting the number of students in a school and school district</w:t>
            </w:r>
            <w:r w:rsidR="007C6840" w:rsidRPr="00F40195">
              <w:t>.</w:t>
            </w:r>
          </w:p>
          <w:p w:rsidR="006B6B73" w:rsidRPr="00F40195" w:rsidRDefault="006B6B73" w:rsidP="00F40195">
            <w:pPr>
              <w:rPr>
                <w:b/>
              </w:rPr>
            </w:pPr>
          </w:p>
        </w:tc>
      </w:tr>
      <w:tr w:rsidR="0040720D" w:rsidRPr="00F40195" w:rsidTr="0040720D">
        <w:tc>
          <w:tcPr>
            <w:tcW w:w="4788" w:type="dxa"/>
            <w:shd w:val="clear" w:color="auto" w:fill="D9D9D9" w:themeFill="background1" w:themeFillShade="D9"/>
          </w:tcPr>
          <w:p w:rsidR="0040720D" w:rsidRPr="00F40195" w:rsidRDefault="0040720D" w:rsidP="00F40195">
            <w:pPr>
              <w:pStyle w:val="Default"/>
              <w:jc w:val="center"/>
              <w:rPr>
                <w:rFonts w:eastAsiaTheme="minorHAnsi"/>
                <w:szCs w:val="22"/>
              </w:rPr>
            </w:pPr>
            <w:r w:rsidRPr="00F40195">
              <w:rPr>
                <w:b/>
              </w:rPr>
              <w:t>Stakeholder Panel Recommendation</w:t>
            </w:r>
          </w:p>
        </w:tc>
        <w:tc>
          <w:tcPr>
            <w:tcW w:w="4788" w:type="dxa"/>
            <w:shd w:val="clear" w:color="auto" w:fill="D9D9D9" w:themeFill="background1" w:themeFillShade="D9"/>
          </w:tcPr>
          <w:p w:rsidR="0040720D" w:rsidRPr="00F40195" w:rsidRDefault="0040720D" w:rsidP="00F40195">
            <w:pPr>
              <w:jc w:val="center"/>
            </w:pPr>
            <w:r w:rsidRPr="00F40195">
              <w:rPr>
                <w:b/>
              </w:rPr>
              <w:t>Advisory Committee Recommendation</w:t>
            </w:r>
          </w:p>
        </w:tc>
      </w:tr>
      <w:tr w:rsidR="0040720D" w:rsidRPr="00F40195">
        <w:tc>
          <w:tcPr>
            <w:tcW w:w="4788" w:type="dxa"/>
          </w:tcPr>
          <w:p w:rsidR="0040720D" w:rsidRPr="00F40195" w:rsidRDefault="00AD1F1F" w:rsidP="00844962">
            <w:pPr>
              <w:pStyle w:val="Default"/>
              <w:rPr>
                <w:rFonts w:eastAsiaTheme="minorHAnsi"/>
                <w:szCs w:val="22"/>
              </w:rPr>
            </w:pPr>
            <w:r w:rsidRPr="00F40195">
              <w:rPr>
                <w:rFonts w:eastAsiaTheme="minorHAnsi"/>
                <w:szCs w:val="22"/>
              </w:rPr>
              <w:t>Adopt ADM but make sure the approach does not create financial difficulties for schools/districts with large decreases in enrollment by using an average.</w:t>
            </w:r>
          </w:p>
          <w:p w:rsidR="0040720D" w:rsidRPr="00F40195" w:rsidRDefault="0040720D" w:rsidP="00096ADF">
            <w:pPr>
              <w:pStyle w:val="Default"/>
              <w:rPr>
                <w:rFonts w:eastAsiaTheme="minorHAnsi"/>
                <w:szCs w:val="22"/>
              </w:rPr>
            </w:pPr>
          </w:p>
        </w:tc>
        <w:tc>
          <w:tcPr>
            <w:tcW w:w="4788" w:type="dxa"/>
          </w:tcPr>
          <w:p w:rsidR="0040720D" w:rsidRPr="00F40195" w:rsidRDefault="00AD1F1F" w:rsidP="00F40195">
            <w:r w:rsidRPr="00F40195">
              <w:t>B</w:t>
            </w:r>
            <w:r w:rsidR="005D3A68" w:rsidRPr="00F40195">
              <w:t xml:space="preserve">uild the model with </w:t>
            </w:r>
            <w:r w:rsidR="0024093A" w:rsidRPr="00F40195">
              <w:t xml:space="preserve">ADM </w:t>
            </w:r>
            <w:r w:rsidR="00C4415F" w:rsidRPr="00F40195">
              <w:t>and</w:t>
            </w:r>
            <w:r w:rsidR="005D3A68" w:rsidRPr="00F40195">
              <w:t xml:space="preserve"> AADA </w:t>
            </w:r>
            <w:r w:rsidR="0024093A" w:rsidRPr="00F40195">
              <w:t xml:space="preserve">in funding formula, with option to switch </w:t>
            </w:r>
            <w:r w:rsidR="006F101D" w:rsidRPr="00F40195">
              <w:t>between the two methods</w:t>
            </w:r>
            <w:r w:rsidR="0024093A" w:rsidRPr="00F40195">
              <w:t xml:space="preserve">. Greater of </w:t>
            </w:r>
            <w:r w:rsidR="005D3A68" w:rsidRPr="00F40195">
              <w:t>current year</w:t>
            </w:r>
            <w:r w:rsidR="0024093A" w:rsidRPr="00F40195">
              <w:t xml:space="preserve"> and three-year rolling average for funding purposes</w:t>
            </w:r>
            <w:r w:rsidR="005D3A68" w:rsidRPr="00F40195">
              <w:t>.</w:t>
            </w:r>
          </w:p>
          <w:p w:rsidR="001C72C2" w:rsidRPr="00F40195" w:rsidRDefault="001C72C2" w:rsidP="00F40195"/>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CB78A5" w:rsidRDefault="00CB78A5" w:rsidP="00F40195">
            <w:pPr>
              <w:spacing w:before="100" w:beforeAutospacing="1" w:after="100" w:afterAutospacing="1"/>
              <w:rPr>
                <w:color w:val="222222"/>
                <w:szCs w:val="24"/>
                <w:shd w:val="clear" w:color="auto" w:fill="FFFFFF"/>
              </w:rPr>
            </w:pPr>
            <w:r w:rsidRPr="00F40195">
              <w:rPr>
                <w:szCs w:val="24"/>
              </w:rPr>
              <w:t xml:space="preserve">Average </w:t>
            </w:r>
            <w:r w:rsidR="00AD1F1F" w:rsidRPr="00F40195">
              <w:rPr>
                <w:szCs w:val="24"/>
              </w:rPr>
              <w:t>D</w:t>
            </w:r>
            <w:r w:rsidRPr="00F40195">
              <w:rPr>
                <w:szCs w:val="24"/>
              </w:rPr>
              <w:t xml:space="preserve">aily </w:t>
            </w:r>
            <w:r w:rsidR="00AD1F1F" w:rsidRPr="00F40195">
              <w:rPr>
                <w:szCs w:val="24"/>
              </w:rPr>
              <w:t>A</w:t>
            </w:r>
            <w:r w:rsidRPr="00F40195">
              <w:rPr>
                <w:szCs w:val="24"/>
              </w:rPr>
              <w:t xml:space="preserve">ttendance (ADA) and </w:t>
            </w:r>
            <w:r w:rsidR="001D69B5" w:rsidRPr="00F40195">
              <w:rPr>
                <w:szCs w:val="24"/>
              </w:rPr>
              <w:t>A</w:t>
            </w:r>
            <w:r w:rsidRPr="00F40195">
              <w:rPr>
                <w:szCs w:val="24"/>
              </w:rPr>
              <w:t xml:space="preserve">verage </w:t>
            </w:r>
            <w:r w:rsidR="001D69B5" w:rsidRPr="00F40195">
              <w:rPr>
                <w:szCs w:val="24"/>
              </w:rPr>
              <w:t>D</w:t>
            </w:r>
            <w:r w:rsidRPr="00F40195">
              <w:rPr>
                <w:szCs w:val="24"/>
              </w:rPr>
              <w:t xml:space="preserve">aily </w:t>
            </w:r>
            <w:r w:rsidR="001D69B5" w:rsidRPr="00F40195">
              <w:rPr>
                <w:szCs w:val="24"/>
              </w:rPr>
              <w:t>M</w:t>
            </w:r>
            <w:r w:rsidRPr="00F40195">
              <w:rPr>
                <w:szCs w:val="24"/>
              </w:rPr>
              <w:t xml:space="preserve">embership (ADM) are two commonly used approaches for </w:t>
            </w:r>
            <w:r w:rsidR="004A0D81" w:rsidRPr="00F40195">
              <w:rPr>
                <w:szCs w:val="24"/>
              </w:rPr>
              <w:t xml:space="preserve">counting students for the purposes of funding. </w:t>
            </w:r>
            <w:r w:rsidRPr="00F40195">
              <w:rPr>
                <w:color w:val="222222"/>
                <w:szCs w:val="24"/>
                <w:shd w:val="clear" w:color="auto" w:fill="FFFFFF"/>
              </w:rPr>
              <w:t>ADA is the average number of attending students over the course of a school year. ADM is a count of students taking into consideration the varying school membership over the course of a year. There is</w:t>
            </w:r>
            <w:r w:rsidR="00895980" w:rsidRPr="00F40195">
              <w:rPr>
                <w:color w:val="222222"/>
                <w:szCs w:val="24"/>
                <w:shd w:val="clear" w:color="auto" w:fill="FFFFFF"/>
              </w:rPr>
              <w:t xml:space="preserve"> little research</w:t>
            </w:r>
            <w:r w:rsidRPr="00F40195">
              <w:rPr>
                <w:color w:val="222222"/>
                <w:szCs w:val="24"/>
                <w:shd w:val="clear" w:color="auto" w:fill="FFFFFF"/>
              </w:rPr>
              <w:t xml:space="preserve"> supporting one approach to counting students over the other, but there are distinctions between the two and different funding outcomes as a result of their implementation. </w:t>
            </w:r>
            <w:r w:rsidR="00FA7C4F" w:rsidRPr="00F40195">
              <w:rPr>
                <w:color w:val="222222"/>
                <w:szCs w:val="24"/>
                <w:shd w:val="clear" w:color="auto" w:fill="FFFFFF"/>
              </w:rPr>
              <w:t xml:space="preserve">Examining attendance patterns among schools serving various populations could reveal potential </w:t>
            </w:r>
            <w:r w:rsidR="00FA7C4F" w:rsidRPr="00F40195">
              <w:rPr>
                <w:color w:val="222222"/>
                <w:szCs w:val="24"/>
                <w:shd w:val="clear" w:color="auto" w:fill="FFFFFF"/>
              </w:rPr>
              <w:lastRenderedPageBreak/>
              <w:t>disadvantages of one approach over another.</w:t>
            </w:r>
            <w:r w:rsidR="00F5039A" w:rsidRPr="00F40195">
              <w:rPr>
                <w:color w:val="222222"/>
                <w:szCs w:val="24"/>
                <w:shd w:val="clear" w:color="auto" w:fill="FFFFFF"/>
              </w:rPr>
              <w:t xml:space="preserve"> Most notably, ADA </w:t>
            </w:r>
            <w:r w:rsidR="00A205BA" w:rsidRPr="00F40195">
              <w:rPr>
                <w:color w:val="222222"/>
                <w:szCs w:val="24"/>
                <w:shd w:val="clear" w:color="auto" w:fill="FFFFFF"/>
              </w:rPr>
              <w:t xml:space="preserve">often </w:t>
            </w:r>
            <w:r w:rsidR="00F5039A" w:rsidRPr="00F40195">
              <w:rPr>
                <w:color w:val="222222"/>
                <w:szCs w:val="24"/>
                <w:shd w:val="clear" w:color="auto" w:fill="FFFFFF"/>
              </w:rPr>
              <w:t>disadvantages schools and districts with high need students, who have greater absenteeism</w:t>
            </w:r>
            <w:r w:rsidR="006F101D" w:rsidRPr="00F40195">
              <w:rPr>
                <w:color w:val="222222"/>
                <w:szCs w:val="24"/>
                <w:shd w:val="clear" w:color="auto" w:fill="FFFFFF"/>
              </w:rPr>
              <w:t xml:space="preserve"> rates</w:t>
            </w:r>
            <w:r w:rsidR="00F5039A" w:rsidRPr="00F40195">
              <w:rPr>
                <w:color w:val="222222"/>
                <w:szCs w:val="24"/>
                <w:shd w:val="clear" w:color="auto" w:fill="FFFFFF"/>
              </w:rPr>
              <w:t>.</w:t>
            </w:r>
          </w:p>
          <w:p w:rsidR="008415FD" w:rsidRPr="00F40195" w:rsidRDefault="00A43EA3" w:rsidP="00F40195">
            <w:pPr>
              <w:spacing w:before="100" w:beforeAutospacing="1" w:after="100" w:afterAutospacing="1"/>
              <w:rPr>
                <w:color w:val="222222"/>
                <w:szCs w:val="24"/>
                <w:shd w:val="clear" w:color="auto" w:fill="FFFFFF"/>
              </w:rPr>
            </w:pPr>
            <w:r>
              <w:rPr>
                <w:color w:val="222222"/>
                <w:szCs w:val="24"/>
                <w:shd w:val="clear" w:color="auto" w:fill="FFFFFF"/>
              </w:rPr>
              <w:t>A</w:t>
            </w:r>
            <w:r w:rsidR="008415FD">
              <w:rPr>
                <w:color w:val="222222"/>
                <w:szCs w:val="24"/>
                <w:shd w:val="clear" w:color="auto" w:fill="FFFFFF"/>
              </w:rPr>
              <w:t xml:space="preserve"> similar situation exists with the use of an Adjusted ADA (AADA) in that it is primarily based on daily attendance. However, the </w:t>
            </w:r>
            <w:proofErr w:type="gramStart"/>
            <w:r w:rsidR="008415FD">
              <w:rPr>
                <w:color w:val="222222"/>
                <w:szCs w:val="24"/>
                <w:shd w:val="clear" w:color="auto" w:fill="FFFFFF"/>
              </w:rPr>
              <w:t xml:space="preserve">adjustments made to counts (e.g. severe weather cancellations, unselecting lowest attendance days) </w:t>
            </w:r>
            <w:r w:rsidR="007D19D4">
              <w:rPr>
                <w:color w:val="222222"/>
                <w:szCs w:val="24"/>
                <w:shd w:val="clear" w:color="auto" w:fill="FFFFFF"/>
              </w:rPr>
              <w:t>brings</w:t>
            </w:r>
            <w:proofErr w:type="gramEnd"/>
            <w:r w:rsidR="007D19D4">
              <w:rPr>
                <w:color w:val="222222"/>
                <w:szCs w:val="24"/>
                <w:shd w:val="clear" w:color="auto" w:fill="FFFFFF"/>
              </w:rPr>
              <w:t xml:space="preserve"> these counts closer to ADM.</w:t>
            </w:r>
          </w:p>
          <w:p w:rsidR="006B6B73" w:rsidRPr="00096ADF" w:rsidRDefault="004A0D81" w:rsidP="00F40195">
            <w:pPr>
              <w:spacing w:before="100" w:beforeAutospacing="1" w:after="100" w:afterAutospacing="1"/>
              <w:rPr>
                <w:szCs w:val="24"/>
              </w:rPr>
            </w:pPr>
            <w:r w:rsidRPr="00F40195">
              <w:rPr>
                <w:szCs w:val="24"/>
              </w:rPr>
              <w:t>To address enrollment declines, a three-year rolling average student count would provide schools and districts time to adjust to a decline in funding (Cavin, Murnane &amp; Brown, 1985). Where there are increasing enrollments this approach will create shortfalls, so an alternative for increasing enrollments should be considered</w:t>
            </w:r>
            <w:r w:rsidR="00E33C7E" w:rsidRPr="00F40195">
              <w:rPr>
                <w:szCs w:val="24"/>
              </w:rPr>
              <w:t>, such as using the greater of the three year rolling average and the current student count</w:t>
            </w:r>
            <w:r w:rsidRPr="00F40195">
              <w:rPr>
                <w:szCs w:val="24"/>
              </w:rPr>
              <w:t>. Instituting an alternative that provides an opportunity to adjust to declining enrollments while immediately addressing increasing enrollments will produce “phantom” students, who are partially counted in multiple jurisdictions throughout the rolling average period</w:t>
            </w:r>
            <w:r w:rsidR="00895980" w:rsidRPr="00F40195">
              <w:rPr>
                <w:szCs w:val="24"/>
              </w:rPr>
              <w:t>, and therefore affect the funding schools and districts receive.</w:t>
            </w:r>
          </w:p>
        </w:tc>
      </w:tr>
    </w:tbl>
    <w:p w:rsidR="006B6B73" w:rsidRPr="00F40195" w:rsidRDefault="006B6B73" w:rsidP="008D674A">
      <w:pPr>
        <w:pStyle w:val="Heading3"/>
      </w:pPr>
      <w:bookmarkStart w:id="86" w:name="_Toc395180678"/>
      <w:r w:rsidRPr="00F40195">
        <w:lastRenderedPageBreak/>
        <w:t>A.2 Preschool</w:t>
      </w:r>
      <w:bookmarkEnd w:id="86"/>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24093A" w:rsidP="00021100">
            <w:pPr>
              <w:rPr>
                <w:b/>
              </w:rPr>
            </w:pPr>
            <w:r w:rsidRPr="00F40195">
              <w:rPr>
                <w:szCs w:val="24"/>
              </w:rPr>
              <w:t xml:space="preserve">Kentucky funds 0.5 </w:t>
            </w:r>
            <w:r w:rsidR="00AA4F62" w:rsidRPr="00F40195">
              <w:rPr>
                <w:szCs w:val="24"/>
              </w:rPr>
              <w:t>ADA</w:t>
            </w:r>
            <w:r w:rsidR="00021100">
              <w:rPr>
                <w:szCs w:val="24"/>
              </w:rPr>
              <w:t xml:space="preserve"> </w:t>
            </w:r>
            <w:r w:rsidR="00B05C1F">
              <w:rPr>
                <w:szCs w:val="24"/>
              </w:rPr>
              <w:t>f</w:t>
            </w:r>
            <w:r w:rsidRPr="00F40195">
              <w:rPr>
                <w:szCs w:val="24"/>
              </w:rPr>
              <w:t xml:space="preserve">or pre-kindergarten programs, independent of actual </w:t>
            </w:r>
            <w:r w:rsidR="00AA4F62" w:rsidRPr="00F40195">
              <w:rPr>
                <w:szCs w:val="24"/>
              </w:rPr>
              <w:t xml:space="preserve">ADA </w:t>
            </w:r>
            <w:r w:rsidR="006F101D" w:rsidRPr="00F40195">
              <w:rPr>
                <w:szCs w:val="24"/>
              </w:rPr>
              <w:t xml:space="preserve">FTE </w:t>
            </w:r>
            <w:r w:rsidRPr="00F40195">
              <w:rPr>
                <w:szCs w:val="24"/>
              </w:rPr>
              <w:t xml:space="preserve">status of </w:t>
            </w:r>
            <w:r w:rsidR="004F5070" w:rsidRPr="00F40195">
              <w:rPr>
                <w:szCs w:val="24"/>
              </w:rPr>
              <w:t xml:space="preserve">students in </w:t>
            </w:r>
            <w:r w:rsidRPr="00F40195">
              <w:rPr>
                <w:szCs w:val="24"/>
              </w:rPr>
              <w:t>the program.</w:t>
            </w:r>
            <w:r w:rsidR="003521F6">
              <w:rPr>
                <w:szCs w:val="24"/>
              </w:rPr>
              <w:t xml:space="preserve"> </w:t>
            </w:r>
            <w:r w:rsidR="00B05C1F">
              <w:rPr>
                <w:szCs w:val="24"/>
              </w:rPr>
              <w:t xml:space="preserve"> So it funds a half day program for what age kids??? 3 and 4</w:t>
            </w:r>
          </w:p>
        </w:tc>
        <w:tc>
          <w:tcPr>
            <w:tcW w:w="4788" w:type="dxa"/>
          </w:tcPr>
          <w:p w:rsidR="0095540E" w:rsidRPr="00F40195" w:rsidRDefault="0095540E" w:rsidP="00F40195">
            <w:r w:rsidRPr="00F40195">
              <w:t>The EB model supports full-day preschool for all 3 and 4 year olds. Taking costs into consideration, children from families with an income at or below 200 percent of the poverty level should have primary access to full-day preschool.</w:t>
            </w:r>
          </w:p>
          <w:p w:rsidR="0095540E" w:rsidRPr="00F40195" w:rsidRDefault="0095540E" w:rsidP="00F40195"/>
          <w:p w:rsidR="006B6B73" w:rsidRDefault="0095540E" w:rsidP="00F40195">
            <w:r w:rsidRPr="00F40195">
              <w:t xml:space="preserve">The staffing and fiscal resources detailed in Table 4.3 </w:t>
            </w:r>
            <w:r w:rsidR="006B6B73" w:rsidRPr="00F40195">
              <w:t>allow elementary schools to fully integrate the preschool program into school</w:t>
            </w:r>
            <w:r w:rsidR="005C4CBF">
              <w:t>s</w:t>
            </w:r>
            <w:r w:rsidR="00EC7395" w:rsidRPr="00F40195">
              <w:t>.</w:t>
            </w:r>
          </w:p>
          <w:p w:rsidR="00096ADF" w:rsidRPr="00F40195" w:rsidRDefault="00096ADF" w:rsidP="00F40195">
            <w:pPr>
              <w:rPr>
                <w:b/>
              </w:rPr>
            </w:pP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r w:rsidRPr="00F40195">
              <w:rPr>
                <w:b/>
              </w:rPr>
              <w:t>Advisory Committee Recommendation</w:t>
            </w:r>
          </w:p>
        </w:tc>
      </w:tr>
      <w:tr w:rsidR="00C85A07" w:rsidRPr="00F40195">
        <w:tc>
          <w:tcPr>
            <w:tcW w:w="4788" w:type="dxa"/>
          </w:tcPr>
          <w:p w:rsidR="00C85A07" w:rsidRPr="00F40195" w:rsidRDefault="001D69B5" w:rsidP="00096ADF">
            <w:pPr>
              <w:pStyle w:val="Default"/>
              <w:rPr>
                <w:rFonts w:eastAsiaTheme="minorHAnsi"/>
                <w:szCs w:val="22"/>
              </w:rPr>
            </w:pPr>
            <w:r w:rsidRPr="00F40195">
              <w:rPr>
                <w:rFonts w:eastAsiaTheme="minorHAnsi"/>
                <w:szCs w:val="22"/>
              </w:rPr>
              <w:t>Fund full-day PK for 3 and 4 year olds, but prioritize 4 year olds if funds are limited. Full-day PK for low-income 4 years olds is preferable to half day for 3 and 4 year olds.</w:t>
            </w:r>
          </w:p>
          <w:p w:rsidR="00C85A07" w:rsidRPr="00F40195" w:rsidRDefault="00C85A07" w:rsidP="00F40195">
            <w:pPr>
              <w:rPr>
                <w:szCs w:val="24"/>
              </w:rPr>
            </w:pPr>
          </w:p>
        </w:tc>
        <w:tc>
          <w:tcPr>
            <w:tcW w:w="4788" w:type="dxa"/>
          </w:tcPr>
          <w:p w:rsidR="00C85A07" w:rsidRPr="00F40195" w:rsidRDefault="0024093A" w:rsidP="00F40195">
            <w:r w:rsidRPr="00F40195">
              <w:t>Fund actual FTE</w:t>
            </w:r>
            <w:r w:rsidR="00FC34BA">
              <w:t xml:space="preserve"> ADM</w:t>
            </w:r>
            <w:r w:rsidRPr="00F40195">
              <w:t xml:space="preserve"> count (0.5 or 1.0) for PK programs. Additional recognition </w:t>
            </w:r>
            <w:r w:rsidR="006F101D" w:rsidRPr="00F40195">
              <w:t xml:space="preserve">may be </w:t>
            </w:r>
            <w:r w:rsidRPr="00F40195">
              <w:t>necessary for facilities to allow for such programs.</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115A0" w:rsidRPr="00F40195" w:rsidRDefault="006115A0" w:rsidP="00F40195">
            <w:r w:rsidRPr="00F40195">
              <w:t>Preschool offered for a full day and taught by fully certified and trained teachers using a rigorous but appropriate early childhood curriculum can reduce achievement gaps linked to race and income by half. There is also increasing recognition that preschool should be provided for all students because it produces significant gains for children from middle class backgrounds and even larger gains for students from lower income backgrounds (Barnett, Brown &amp; Shore, 2004).</w:t>
            </w:r>
          </w:p>
          <w:p w:rsidR="006115A0" w:rsidRPr="00F40195" w:rsidRDefault="006115A0" w:rsidP="00F40195">
            <w:pPr>
              <w:pStyle w:val="BodyTextIndent3"/>
              <w:spacing w:line="240" w:lineRule="auto"/>
              <w:ind w:firstLine="0"/>
            </w:pPr>
          </w:p>
          <w:p w:rsidR="006B6B73" w:rsidRPr="00F40195" w:rsidRDefault="006115A0" w:rsidP="00F40195">
            <w:pPr>
              <w:pStyle w:val="BodyTextIndent3"/>
              <w:spacing w:line="240" w:lineRule="auto"/>
              <w:ind w:firstLine="0"/>
            </w:pPr>
            <w:r w:rsidRPr="00F40195">
              <w:rPr>
                <w:bCs/>
              </w:rPr>
              <w:t>The gains for low</w:t>
            </w:r>
            <w:r w:rsidR="000274C3" w:rsidRPr="00F40195">
              <w:rPr>
                <w:bCs/>
              </w:rPr>
              <w:t>-</w:t>
            </w:r>
            <w:r w:rsidRPr="00F40195">
              <w:rPr>
                <w:bCs/>
              </w:rPr>
              <w:t xml:space="preserve">income students include </w:t>
            </w:r>
            <w:r w:rsidR="006B6B73" w:rsidRPr="00F40195">
              <w:t>significant</w:t>
            </w:r>
            <w:r w:rsidR="00FA389B" w:rsidRPr="00F40195">
              <w:t xml:space="preserve"> and positive</w:t>
            </w:r>
            <w:r w:rsidR="006B6B73" w:rsidRPr="00F40195">
              <w:t xml:space="preserve"> </w:t>
            </w:r>
            <w:r w:rsidRPr="00F40195">
              <w:t>e</w:t>
            </w:r>
            <w:r w:rsidR="006B6B73" w:rsidRPr="00F40195">
              <w:t>ffects</w:t>
            </w:r>
            <w:r w:rsidRPr="00F40195">
              <w:t xml:space="preserve"> on</w:t>
            </w:r>
            <w:r w:rsidR="006B6B73" w:rsidRPr="00F40195">
              <w:t xml:space="preserve"> future student academic achievement </w:t>
            </w:r>
            <w:r w:rsidRPr="00F40195">
              <w:t>and</w:t>
            </w:r>
            <w:r w:rsidR="006B6B73" w:rsidRPr="00F40195">
              <w:t xml:space="preserve"> other desired social and community outcomes (Barnett, 2011; </w:t>
            </w:r>
            <w:r w:rsidR="006B6B73" w:rsidRPr="00F40195">
              <w:lastRenderedPageBreak/>
              <w:t>Camilli, et. al., 2010; Reynolds, et al., 2001, 2011; Schweinhart et al., 2005)</w:t>
            </w:r>
            <w:r w:rsidR="009739FE" w:rsidRPr="00F40195">
              <w:t xml:space="preserve">. </w:t>
            </w:r>
            <w:r w:rsidR="00FA389B" w:rsidRPr="00F40195">
              <w:t>S</w:t>
            </w:r>
            <w:r w:rsidR="006B6B73" w:rsidRPr="00F40195">
              <w:t xml:space="preserve">tudents from lower income backgrounds who experience a high quality, full-day preschool program </w:t>
            </w:r>
            <w:r w:rsidR="00FA389B" w:rsidRPr="00F40195">
              <w:t xml:space="preserve">gain more </w:t>
            </w:r>
            <w:r w:rsidR="006B6B73" w:rsidRPr="00F40195">
              <w:t>basic skills in elementary school, score higher on academic goals in middle and high school, attend college at a greater rate, and as adults, earn higher incomes and engage in less socially-undesirable behavior</w:t>
            </w:r>
            <w:r w:rsidR="009739FE" w:rsidRPr="00F40195">
              <w:t xml:space="preserve">. </w:t>
            </w:r>
            <w:r w:rsidR="006B6B73" w:rsidRPr="00F40195">
              <w:t xml:space="preserve">There is a return over time of </w:t>
            </w:r>
            <w:r w:rsidR="006B6B73" w:rsidRPr="00F40195">
              <w:rPr>
                <w:i/>
              </w:rPr>
              <w:t>eight to ten dollars</w:t>
            </w:r>
            <w:r w:rsidR="006B6B73" w:rsidRPr="00F40195">
              <w:t xml:space="preserve"> for every one dollar invested in high quality preschool programs (Barnett, 2007; Barnett &amp; Masse, 2007; Karoly et al., 1998; Reynolds et al., 2011).</w:t>
            </w:r>
          </w:p>
          <w:p w:rsidR="006B6B73" w:rsidRPr="00F40195" w:rsidRDefault="006B6B73" w:rsidP="00F40195">
            <w:pPr>
              <w:pStyle w:val="BodyTextIndent3"/>
              <w:spacing w:line="240" w:lineRule="auto"/>
              <w:ind w:firstLine="0"/>
            </w:pPr>
          </w:p>
          <w:p w:rsidR="006B6B73" w:rsidRPr="00F40195" w:rsidRDefault="006B6B73" w:rsidP="00F40195">
            <w:pPr>
              <w:pStyle w:val="BodyTextIndent3"/>
              <w:spacing w:line="240" w:lineRule="auto"/>
              <w:ind w:firstLine="0"/>
            </w:pPr>
            <w:r w:rsidRPr="00F40195">
              <w:t xml:space="preserve">In California, Georgia, Illinois, Kentucky, New York and Ohio </w:t>
            </w:r>
            <w:r w:rsidR="00FA389B" w:rsidRPr="00F40195">
              <w:t>the achievement gap between low and middle income students is narrower for low-i</w:t>
            </w:r>
            <w:r w:rsidR="00A271BC" w:rsidRPr="00F40195">
              <w:t>ncome students who attended pre</w:t>
            </w:r>
            <w:r w:rsidR="00FA389B" w:rsidRPr="00F40195">
              <w:t>school</w:t>
            </w:r>
            <w:r w:rsidRPr="00F40195">
              <w:t xml:space="preserve"> (Jacobson, 2003)</w:t>
            </w:r>
            <w:r w:rsidR="009739FE" w:rsidRPr="00F40195">
              <w:t xml:space="preserve">. </w:t>
            </w:r>
            <w:r w:rsidR="00D972D1" w:rsidRPr="00F40195">
              <w:t>Two-</w:t>
            </w:r>
            <w:r w:rsidR="00A271BC" w:rsidRPr="00F40195">
              <w:t>year</w:t>
            </w:r>
            <w:r w:rsidR="00D972D1" w:rsidRPr="00F40195">
              <w:t xml:space="preserve"> </w:t>
            </w:r>
            <w:r w:rsidR="00A271BC" w:rsidRPr="00F40195">
              <w:t>preschool programs in some of New Jersey’s urban districts narrowed the achievement gap by 40 percent in second grade</w:t>
            </w:r>
            <w:r w:rsidRPr="00F40195">
              <w:t xml:space="preserve"> (Frede, Jung, Barnett et al., 2007).</w:t>
            </w:r>
          </w:p>
          <w:p w:rsidR="006B6B73" w:rsidRPr="00F40195" w:rsidRDefault="006B6B73" w:rsidP="00F40195"/>
          <w:p w:rsidR="006B6B73" w:rsidRPr="00F40195" w:rsidRDefault="006B6B73" w:rsidP="00F40195">
            <w:pPr>
              <w:rPr>
                <w:b/>
              </w:rPr>
            </w:pPr>
            <w:r w:rsidRPr="00F40195">
              <w:t>Preschool quality is largely a function of staff (Camilli, et al., 2010; Whitebrook, 2004)</w:t>
            </w:r>
            <w:r w:rsidR="009739FE" w:rsidRPr="00F40195">
              <w:t>.</w:t>
            </w:r>
            <w:r w:rsidR="003521F6">
              <w:t xml:space="preserve"> And staff quality depends in part on salary levels. </w:t>
            </w:r>
            <w:r w:rsidR="009739FE" w:rsidRPr="00F40195">
              <w:t xml:space="preserve"> </w:t>
            </w:r>
            <w:r w:rsidR="006115A0" w:rsidRPr="00F40195">
              <w:t>I</w:t>
            </w:r>
            <w:r w:rsidRPr="00F40195">
              <w:t>ncluding preschool students in a district’s pupil count for state aid purposes and including preschool teachers on the same salary schedule as teachers of other grades is the most straight-forward way to fund preschool services</w:t>
            </w:r>
            <w:r w:rsidR="003521F6">
              <w:t xml:space="preserve"> and help to insure the programs re staffed with quality teachers</w:t>
            </w:r>
            <w:r w:rsidRPr="00F40195">
              <w:t>. At the same time, if this funding and salary approach is followed, districts should be encouraged to allow multiple institutions and organizations to provide preschool services, not just the public schools.</w:t>
            </w:r>
          </w:p>
        </w:tc>
      </w:tr>
    </w:tbl>
    <w:p w:rsidR="006B6B73" w:rsidRPr="00F40195" w:rsidRDefault="006B6B73" w:rsidP="008D674A">
      <w:pPr>
        <w:pStyle w:val="Heading3"/>
      </w:pPr>
      <w:bookmarkStart w:id="87" w:name="_Toc395180679"/>
      <w:r w:rsidRPr="00F40195">
        <w:lastRenderedPageBreak/>
        <w:t>A.3 Full</w:t>
      </w:r>
      <w:r w:rsidR="00233469" w:rsidRPr="00F40195">
        <w:t>-</w:t>
      </w:r>
      <w:r w:rsidRPr="00F40195">
        <w:t>Day Kindergarten</w:t>
      </w:r>
      <w:bookmarkEnd w:id="87"/>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6B6B73" w:rsidP="00F40195">
            <w:pPr>
              <w:pStyle w:val="BodyTextIndent3"/>
              <w:spacing w:line="240" w:lineRule="auto"/>
              <w:ind w:firstLine="0"/>
              <w:rPr>
                <w:szCs w:val="24"/>
              </w:rPr>
            </w:pPr>
            <w:r w:rsidRPr="00F40195">
              <w:rPr>
                <w:szCs w:val="24"/>
              </w:rPr>
              <w:t>Kinderga</w:t>
            </w:r>
            <w:r w:rsidR="007878FC">
              <w:rPr>
                <w:szCs w:val="24"/>
              </w:rPr>
              <w:t>rten students are counted as 0.5</w:t>
            </w:r>
            <w:r w:rsidRPr="00F40195">
              <w:rPr>
                <w:szCs w:val="24"/>
              </w:rPr>
              <w:t xml:space="preserve"> </w:t>
            </w:r>
            <w:r w:rsidR="003521F6">
              <w:rPr>
                <w:szCs w:val="24"/>
              </w:rPr>
              <w:t>A</w:t>
            </w:r>
            <w:r w:rsidR="007E3BB1" w:rsidRPr="00F40195">
              <w:rPr>
                <w:szCs w:val="24"/>
              </w:rPr>
              <w:t>ADA</w:t>
            </w:r>
            <w:r w:rsidR="00E552C7" w:rsidRPr="00F40195">
              <w:rPr>
                <w:szCs w:val="24"/>
              </w:rPr>
              <w:t xml:space="preserve">, even if enrolled in a </w:t>
            </w:r>
            <w:r w:rsidR="007878FC">
              <w:rPr>
                <w:szCs w:val="24"/>
              </w:rPr>
              <w:t>full</w:t>
            </w:r>
            <w:r w:rsidR="00E552C7" w:rsidRPr="00F40195">
              <w:rPr>
                <w:szCs w:val="24"/>
              </w:rPr>
              <w:t xml:space="preserve"> day kindergarten program</w:t>
            </w:r>
            <w:r w:rsidR="007E3277" w:rsidRPr="00F40195">
              <w:rPr>
                <w:szCs w:val="24"/>
              </w:rPr>
              <w:t>.</w:t>
            </w:r>
          </w:p>
          <w:p w:rsidR="006B6B73" w:rsidRPr="00F40195" w:rsidRDefault="006B6B73" w:rsidP="00F40195">
            <w:pPr>
              <w:pStyle w:val="BodyTextIndent3"/>
              <w:spacing w:line="240" w:lineRule="auto"/>
              <w:ind w:firstLine="0"/>
              <w:rPr>
                <w:rFonts w:eastAsiaTheme="minorHAnsi"/>
                <w:b/>
                <w:szCs w:val="22"/>
              </w:rPr>
            </w:pPr>
          </w:p>
        </w:tc>
        <w:tc>
          <w:tcPr>
            <w:tcW w:w="4788" w:type="dxa"/>
          </w:tcPr>
          <w:p w:rsidR="009739FE" w:rsidRPr="00F40195" w:rsidRDefault="00A205BA" w:rsidP="00F40195">
            <w:r w:rsidRPr="00F40195">
              <w:t xml:space="preserve">Since research suggests that children from all backgrounds can benefit from full-day kindergarten programs, the EB model provides support for a full day program for all students, by counting such students as 1.0 </w:t>
            </w:r>
            <w:r w:rsidR="007878FC">
              <w:t xml:space="preserve">FTE </w:t>
            </w:r>
            <w:r w:rsidRPr="00F40195">
              <w:t>in the state aid formula.</w:t>
            </w:r>
          </w:p>
          <w:p w:rsidR="009739FE" w:rsidRPr="00F40195" w:rsidRDefault="009739FE" w:rsidP="00F40195"/>
          <w:p w:rsidR="006B6B73" w:rsidRPr="00F40195" w:rsidRDefault="00A205BA" w:rsidP="00F40195">
            <w:r w:rsidRPr="00F40195">
              <w:t>If students attend a half-day program, they should b</w:t>
            </w:r>
            <w:r w:rsidR="00233469" w:rsidRPr="00F40195">
              <w:t>e</w:t>
            </w:r>
            <w:r w:rsidRPr="00F40195">
              <w:t xml:space="preserve"> counted as </w:t>
            </w:r>
            <w:r w:rsidR="007878FC">
              <w:t>0</w:t>
            </w:r>
            <w:r w:rsidRPr="00F40195">
              <w:t xml:space="preserve">.5 FTE students in </w:t>
            </w:r>
            <w:r w:rsidR="006B6B73" w:rsidRPr="00F40195">
              <w:t>the state aid formula.</w:t>
            </w:r>
          </w:p>
          <w:p w:rsidR="006B6B73" w:rsidRPr="00F40195" w:rsidRDefault="006B6B73" w:rsidP="00F40195">
            <w:pPr>
              <w:rPr>
                <w:b/>
              </w:rPr>
            </w:pPr>
          </w:p>
        </w:tc>
      </w:tr>
      <w:tr w:rsidR="00C85A07" w:rsidRPr="00F40195">
        <w:tc>
          <w:tcPr>
            <w:tcW w:w="4788" w:type="dxa"/>
          </w:tcPr>
          <w:p w:rsidR="00C85A07" w:rsidRPr="00F40195" w:rsidRDefault="00C85A07" w:rsidP="00F40195">
            <w:pPr>
              <w:pStyle w:val="BodyTextIndent3"/>
              <w:spacing w:line="240" w:lineRule="auto"/>
              <w:ind w:firstLine="0"/>
              <w:rPr>
                <w:szCs w:val="24"/>
              </w:rPr>
            </w:pPr>
            <w:r w:rsidRPr="00F40195">
              <w:rPr>
                <w:b/>
              </w:rPr>
              <w:t>Stakeholder Panel Recommendation</w:t>
            </w:r>
          </w:p>
        </w:tc>
        <w:tc>
          <w:tcPr>
            <w:tcW w:w="4788" w:type="dxa"/>
          </w:tcPr>
          <w:p w:rsidR="00C85A07" w:rsidRPr="00F40195" w:rsidRDefault="00C85A07" w:rsidP="00F40195">
            <w:r w:rsidRPr="00F40195">
              <w:rPr>
                <w:b/>
              </w:rPr>
              <w:t>Advisory Committee Recommendation</w:t>
            </w:r>
          </w:p>
        </w:tc>
      </w:tr>
      <w:tr w:rsidR="00C85A07" w:rsidRPr="00F40195">
        <w:tc>
          <w:tcPr>
            <w:tcW w:w="4788" w:type="dxa"/>
          </w:tcPr>
          <w:p w:rsidR="00C85A07" w:rsidRPr="00096ADF" w:rsidRDefault="00603132" w:rsidP="00096ADF">
            <w:r w:rsidRPr="00F40195">
              <w:t>Same as EB Model.</w:t>
            </w:r>
          </w:p>
          <w:p w:rsidR="00C85A07" w:rsidRPr="00F40195" w:rsidRDefault="00C85A07" w:rsidP="00F40195">
            <w:pPr>
              <w:pStyle w:val="BodyTextIndent3"/>
              <w:spacing w:line="240" w:lineRule="auto"/>
              <w:ind w:firstLine="0"/>
              <w:rPr>
                <w:szCs w:val="24"/>
              </w:rPr>
            </w:pPr>
          </w:p>
        </w:tc>
        <w:tc>
          <w:tcPr>
            <w:tcW w:w="4788" w:type="dxa"/>
          </w:tcPr>
          <w:p w:rsidR="009739FE" w:rsidRPr="00F40195" w:rsidRDefault="009739FE" w:rsidP="00F40195">
            <w:r w:rsidRPr="00F40195">
              <w:t>Same as EB Model.</w:t>
            </w:r>
          </w:p>
          <w:p w:rsidR="00C85A07" w:rsidRPr="00F40195" w:rsidRDefault="00C85A07" w:rsidP="00F40195">
            <w:pPr>
              <w:jc w:val="center"/>
            </w:pP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D74E9F" w:rsidP="00F40195">
            <w:pPr>
              <w:autoSpaceDE w:val="0"/>
              <w:autoSpaceDN w:val="0"/>
              <w:adjustRightInd w:val="0"/>
            </w:pPr>
            <w:r w:rsidRPr="00F40195">
              <w:rPr>
                <w:bCs/>
              </w:rPr>
              <w:t>F</w:t>
            </w:r>
            <w:r w:rsidR="006B6B73" w:rsidRPr="00F40195">
              <w:rPr>
                <w:bCs/>
              </w:rPr>
              <w:t>ull-day kindergarten</w:t>
            </w:r>
            <w:r w:rsidR="006B6B73" w:rsidRPr="00F40195">
              <w:t>, particularly for students from low-income backgrounds, has significant, positive effects on student learning in the early elementary grades (</w:t>
            </w:r>
            <w:r w:rsidR="00603145" w:rsidRPr="00F40195">
              <w:t xml:space="preserve">Cooper et al, 2010, Denton, West &amp; Walston, 2003, Elicker &amp; Mathur, 1997, </w:t>
            </w:r>
            <w:r w:rsidRPr="00F40195">
              <w:t xml:space="preserve">Fusaro, 1997, </w:t>
            </w:r>
            <w:r w:rsidR="006B6B73" w:rsidRPr="00F40195">
              <w:t>Gullo, 2000; Slavin, Karweit &amp; Wasik, 1994)</w:t>
            </w:r>
            <w:r w:rsidR="009739FE" w:rsidRPr="00F40195">
              <w:t xml:space="preserve">. </w:t>
            </w:r>
            <w:r w:rsidR="006B6B73" w:rsidRPr="00F40195">
              <w:t xml:space="preserve">Children participating in full-day kindergarten programs </w:t>
            </w:r>
            <w:r w:rsidRPr="00F40195">
              <w:t>gain more</w:t>
            </w:r>
            <w:r w:rsidR="006B6B73" w:rsidRPr="00F40195">
              <w:t xml:space="preserve"> basic skills </w:t>
            </w:r>
            <w:r w:rsidRPr="00F40195">
              <w:t>in</w:t>
            </w:r>
            <w:r w:rsidR="006B6B73" w:rsidRPr="00F40195">
              <w:t xml:space="preserve"> reading, writing, and mathematics in the primary grades than children who receive only a half-day program or no kindergarten at all. </w:t>
            </w:r>
          </w:p>
          <w:p w:rsidR="006B6B73" w:rsidRPr="00F40195" w:rsidRDefault="006B6B73" w:rsidP="00F40195">
            <w:pPr>
              <w:autoSpaceDE w:val="0"/>
              <w:autoSpaceDN w:val="0"/>
              <w:adjustRightInd w:val="0"/>
            </w:pPr>
          </w:p>
          <w:p w:rsidR="006B6B73" w:rsidRPr="00F40195" w:rsidRDefault="006B6B73" w:rsidP="00F40195">
            <w:pPr>
              <w:autoSpaceDE w:val="0"/>
              <w:autoSpaceDN w:val="0"/>
              <w:adjustRightInd w:val="0"/>
            </w:pPr>
            <w:r w:rsidRPr="00F40195">
              <w:t xml:space="preserve">In 2003, using nationally-representative, longitudinal data from the Early Childhood Longitudinal Study, Kindergarten Class of 1998–99 (ECLS–K), Denton, West &amp; Walston (2003) showed that children who attended full-day kindergarten had a greater ability to demonstrate reading knowledge and skill than their peers in half-day programs, across the range of family backgrounds. Cooper, et al.’s (2010) comprehensive meta-analysis reached similar conclusions finding the average effect size of students in full day versus </w:t>
            </w:r>
            <w:r w:rsidR="004E7D6C" w:rsidRPr="00F40195">
              <w:t>half-day</w:t>
            </w:r>
            <w:r w:rsidRPr="00F40195">
              <w:t xml:space="preserve"> kindergarten to be +0.25</w:t>
            </w:r>
            <w:r w:rsidR="009739FE" w:rsidRPr="00F40195">
              <w:t xml:space="preserve">. </w:t>
            </w:r>
            <w:r w:rsidRPr="00F40195">
              <w:t xml:space="preserve">Moreover, a randomized control trial, the “gold standard” of education research, found the effect of full-day versus half-day kindergarten to be about +0.75 </w:t>
            </w:r>
            <w:r w:rsidRPr="00C4462A">
              <w:t xml:space="preserve">standard deviations </w:t>
            </w:r>
            <w:r w:rsidRPr="004334A9">
              <w:t xml:space="preserve">(Elicker &amp; Mathur, 1997). </w:t>
            </w:r>
            <w:r w:rsidRPr="00C4462A">
              <w:t xml:space="preserve">As a result of this research, funding full day kindergarten for 5 year-olds as well as for 4 year-olds is an increasingly common practice among </w:t>
            </w:r>
            <w:r w:rsidRPr="00F40195">
              <w:t>the states (Kauerz, 2005).</w:t>
            </w:r>
          </w:p>
          <w:p w:rsidR="006B6B73" w:rsidRPr="00F40195" w:rsidRDefault="006B6B73" w:rsidP="00F40195">
            <w:pPr>
              <w:autoSpaceDE w:val="0"/>
              <w:autoSpaceDN w:val="0"/>
              <w:adjustRightInd w:val="0"/>
            </w:pPr>
          </w:p>
          <w:p w:rsidR="0064372C" w:rsidRPr="00F40195" w:rsidRDefault="00F056C0" w:rsidP="00F40195">
            <w:r w:rsidRPr="00F40195">
              <w:t>C</w:t>
            </w:r>
            <w:r w:rsidR="006B6B73" w:rsidRPr="00F40195">
              <w:t>hildren from all backgrounds can benefit from full-day kindergarten programs</w:t>
            </w:r>
            <w:r w:rsidR="009739FE" w:rsidRPr="00F40195">
              <w:t xml:space="preserve">. </w:t>
            </w:r>
            <w:r w:rsidR="009B179B" w:rsidRPr="00F40195">
              <w:t>Th</w:t>
            </w:r>
            <w:r w:rsidR="006B6B73" w:rsidRPr="00F40195">
              <w:t xml:space="preserve">e EB model provides support for a full day program for all students, </w:t>
            </w:r>
            <w:r w:rsidR="00AA4F62" w:rsidRPr="00F40195">
              <w:t>and counting them for their actual FTE status in the program.</w:t>
            </w:r>
          </w:p>
        </w:tc>
      </w:tr>
    </w:tbl>
    <w:p w:rsidR="006B6B73" w:rsidRPr="00F40195" w:rsidRDefault="006B6B73" w:rsidP="008D674A">
      <w:pPr>
        <w:pStyle w:val="Heading3"/>
      </w:pPr>
      <w:bookmarkStart w:id="88" w:name="_Toc395180680"/>
      <w:r w:rsidRPr="00F40195">
        <w:lastRenderedPageBreak/>
        <w:t>A.4 School Size for Purpose of Estimating Resources</w:t>
      </w:r>
      <w:bookmarkEnd w:id="88"/>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9359BB" w:rsidP="00F40195">
            <w:pPr>
              <w:rPr>
                <w:b/>
              </w:rPr>
            </w:pPr>
            <w:r w:rsidRPr="00F40195">
              <w:t>Kentucky does not consider school size in determining school funding.</w:t>
            </w:r>
          </w:p>
        </w:tc>
        <w:tc>
          <w:tcPr>
            <w:tcW w:w="4788" w:type="dxa"/>
          </w:tcPr>
          <w:p w:rsidR="006B6B73" w:rsidRPr="00F40195" w:rsidRDefault="006B6B73" w:rsidP="00F40195">
            <w:r w:rsidRPr="00F40195">
              <w:t xml:space="preserve">To indicate the relative level of resources in schools, </w:t>
            </w:r>
            <w:r w:rsidR="003521F6">
              <w:t>the EB model uses</w:t>
            </w:r>
            <w:r w:rsidRPr="00F40195">
              <w:t xml:space="preserve"> prototypical school units of: </w:t>
            </w:r>
          </w:p>
          <w:p w:rsidR="006B6B73" w:rsidRPr="00F40195" w:rsidRDefault="006B6B73" w:rsidP="00F40195">
            <w:pPr>
              <w:pStyle w:val="ListParagraph"/>
              <w:numPr>
                <w:ilvl w:val="0"/>
                <w:numId w:val="10"/>
              </w:numPr>
            </w:pPr>
            <w:r w:rsidRPr="00F40195">
              <w:t xml:space="preserve">450 student K-5 elementary </w:t>
            </w:r>
            <w:r w:rsidR="00B51E1F" w:rsidRPr="00F40195">
              <w:t>schools</w:t>
            </w:r>
            <w:r w:rsidR="002C687C" w:rsidRPr="00F40195">
              <w:t xml:space="preserve"> </w:t>
            </w:r>
          </w:p>
          <w:p w:rsidR="006B6B73" w:rsidRPr="00F40195" w:rsidRDefault="006B6B73" w:rsidP="00F40195">
            <w:pPr>
              <w:pStyle w:val="ListParagraph"/>
              <w:numPr>
                <w:ilvl w:val="0"/>
                <w:numId w:val="10"/>
              </w:numPr>
            </w:pPr>
            <w:r w:rsidRPr="00F40195">
              <w:t>450 student 6-8 middle schools</w:t>
            </w:r>
          </w:p>
          <w:p w:rsidR="006B6B73" w:rsidRPr="00F40195" w:rsidRDefault="006B6B73" w:rsidP="00F40195">
            <w:pPr>
              <w:numPr>
                <w:ilvl w:val="0"/>
                <w:numId w:val="11"/>
              </w:numPr>
              <w:rPr>
                <w:rFonts w:eastAsiaTheme="minorHAnsi"/>
                <w:sz w:val="22"/>
                <w:szCs w:val="22"/>
              </w:rPr>
            </w:pPr>
            <w:r w:rsidRPr="00F40195">
              <w:t>600 student 9-12 high schools</w:t>
            </w:r>
          </w:p>
          <w:p w:rsidR="008224FD" w:rsidRPr="00F40195" w:rsidRDefault="00775A3D" w:rsidP="00E960DE">
            <w:pPr>
              <w:rPr>
                <w:b/>
              </w:rPr>
            </w:pPr>
            <w:r w:rsidRPr="00F40195">
              <w:t>These prototypical school sizes reflect research on the most effective school sizes, though in reality few schools are exactly the size of the prototypes. As a result, the general</w:t>
            </w:r>
            <w:r w:rsidR="007D19D4">
              <w:t xml:space="preserve"> EB</w:t>
            </w:r>
            <w:r w:rsidRPr="00F40195">
              <w:t xml:space="preserve"> formulas</w:t>
            </w:r>
            <w:r w:rsidR="00FC34BA">
              <w:t xml:space="preserve"> (e.g. core content teachers, librarians, tutors)</w:t>
            </w:r>
            <w:r w:rsidRPr="00F40195">
              <w:t xml:space="preserve"> are designed in a way that they can be proportionately reduced or increased based on how a school’s </w:t>
            </w:r>
            <w:r w:rsidR="003F713A" w:rsidRPr="00F40195">
              <w:t>student count</w:t>
            </w:r>
            <w:r w:rsidRPr="00F40195">
              <w:t xml:space="preserve"> compares to the prototypical models. The model also can be used to estimate </w:t>
            </w:r>
            <w:proofErr w:type="gramStart"/>
            <w:r w:rsidRPr="00F40195">
              <w:t>a district</w:t>
            </w:r>
            <w:proofErr w:type="gramEnd"/>
            <w:r w:rsidRPr="00F40195">
              <w:t xml:space="preserve">-level </w:t>
            </w:r>
            <w:r w:rsidR="00603132" w:rsidRPr="00F40195">
              <w:t xml:space="preserve">expenditure </w:t>
            </w:r>
            <w:r w:rsidRPr="00F40195">
              <w:t>per pupil figure. Further, when actual school sizes are substantially larger than the prototypes, the EB suggest that schools divide themselves into schools-within-schools, and have the individual schools-within-schools operate as semi-independent units. The EB proposals should not be construed to imply that Kentucky needs to replace all school sites with smaller (or larger) buildings.</w:t>
            </w:r>
          </w:p>
        </w:tc>
      </w:tr>
      <w:tr w:rsidR="00C85A07" w:rsidRPr="00F40195">
        <w:tc>
          <w:tcPr>
            <w:tcW w:w="4788" w:type="dxa"/>
          </w:tcPr>
          <w:p w:rsidR="00C85A07" w:rsidRPr="00F40195" w:rsidRDefault="00C85A07" w:rsidP="00F40195">
            <w:r w:rsidRPr="00F40195">
              <w:rPr>
                <w:b/>
              </w:rPr>
              <w:t>Stakeholder Panel Recommendation</w:t>
            </w:r>
          </w:p>
        </w:tc>
        <w:tc>
          <w:tcPr>
            <w:tcW w:w="4788" w:type="dxa"/>
          </w:tcPr>
          <w:p w:rsidR="00C85A07" w:rsidRPr="00F40195" w:rsidRDefault="00C85A07" w:rsidP="00F40195">
            <w:r w:rsidRPr="00F40195">
              <w:rPr>
                <w:b/>
              </w:rPr>
              <w:t>Advisory Committee Recommendation</w:t>
            </w:r>
          </w:p>
        </w:tc>
      </w:tr>
      <w:tr w:rsidR="00C85A07" w:rsidRPr="00F40195">
        <w:tc>
          <w:tcPr>
            <w:tcW w:w="4788" w:type="dxa"/>
          </w:tcPr>
          <w:p w:rsidR="004009B5" w:rsidRPr="00F40195" w:rsidRDefault="004009B5" w:rsidP="00F40195">
            <w:pPr>
              <w:pStyle w:val="Default"/>
              <w:rPr>
                <w:rFonts w:eastAsiaTheme="minorHAnsi"/>
                <w:szCs w:val="22"/>
              </w:rPr>
            </w:pPr>
            <w:r w:rsidRPr="00F40195">
              <w:rPr>
                <w:rFonts w:eastAsiaTheme="minorHAnsi"/>
                <w:szCs w:val="22"/>
              </w:rPr>
              <w:lastRenderedPageBreak/>
              <w:t xml:space="preserve">Same as EB Model with </w:t>
            </w:r>
            <w:r w:rsidR="00603132" w:rsidRPr="00F40195">
              <w:rPr>
                <w:rFonts w:eastAsiaTheme="minorHAnsi"/>
                <w:szCs w:val="22"/>
              </w:rPr>
              <w:t>a note that an</w:t>
            </w:r>
            <w:r w:rsidRPr="00F40195">
              <w:rPr>
                <w:rFonts w:eastAsiaTheme="minorHAnsi"/>
                <w:szCs w:val="22"/>
              </w:rPr>
              <w:t xml:space="preserve"> exception </w:t>
            </w:r>
            <w:r w:rsidR="00E960DE">
              <w:rPr>
                <w:rFonts w:eastAsiaTheme="minorHAnsi"/>
                <w:szCs w:val="22"/>
              </w:rPr>
              <w:t xml:space="preserve">be made for </w:t>
            </w:r>
            <w:r w:rsidRPr="00F40195">
              <w:rPr>
                <w:rFonts w:eastAsiaTheme="minorHAnsi"/>
                <w:szCs w:val="22"/>
              </w:rPr>
              <w:t xml:space="preserve">necessarily small schools. </w:t>
            </w:r>
          </w:p>
          <w:p w:rsidR="00C85A07" w:rsidRPr="00F40195" w:rsidRDefault="00C85A07" w:rsidP="00F40195"/>
        </w:tc>
        <w:tc>
          <w:tcPr>
            <w:tcW w:w="4788" w:type="dxa"/>
          </w:tcPr>
          <w:p w:rsidR="00C85A07" w:rsidRPr="00F40195" w:rsidRDefault="009739FE" w:rsidP="00F40195">
            <w:r w:rsidRPr="00F40195">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6B6B73" w:rsidP="00F40195">
            <w:r w:rsidRPr="00F40195">
              <w:t xml:space="preserve">Most of the research on school size addresses the question of whether large schools – those significantly over 1,000 students – are both more efficient and more effective than smaller school units (schools of 300 to 500) – and whether </w:t>
            </w:r>
            <w:proofErr w:type="gramStart"/>
            <w:r w:rsidRPr="00F40195">
              <w:t>cost savings and performance improvements</w:t>
            </w:r>
            <w:proofErr w:type="gramEnd"/>
            <w:r w:rsidRPr="00F40195">
              <w:t xml:space="preserve"> can be identified by consolidating small schools or districts into larger entities</w:t>
            </w:r>
            <w:r w:rsidR="009739FE" w:rsidRPr="00F40195">
              <w:t xml:space="preserve">. </w:t>
            </w:r>
            <w:r w:rsidR="00352BC8" w:rsidRPr="00F40195">
              <w:t>S</w:t>
            </w:r>
            <w:r w:rsidRPr="00F40195">
              <w:t>chool units of roughly 400-600 elementary students and between 500 and 1,000 secondary students are the most effective and most efficient (Lee &amp; Smith, 1997; Raywid, 1997/1998).</w:t>
            </w:r>
            <w:r w:rsidR="00352BC8" w:rsidRPr="00F40195">
              <w:t xml:space="preserve"> </w:t>
            </w:r>
            <w:r w:rsidR="00AB19F0" w:rsidRPr="00F40195">
              <w:t>Other studies suggest t</w:t>
            </w:r>
            <w:r w:rsidR="00352BC8" w:rsidRPr="00F40195">
              <w:t>he optimum size for elementary schools is between 300-500 students and between 600-900 students for high schools (Andrews, Duncombe &amp; Yinger, 2002, Duncombe and Yinger, 2010).</w:t>
            </w:r>
          </w:p>
          <w:p w:rsidR="00796BAC" w:rsidRPr="00F40195" w:rsidRDefault="00796BAC" w:rsidP="00F40195"/>
          <w:p w:rsidR="00796BAC" w:rsidRPr="00F40195" w:rsidRDefault="00796BAC" w:rsidP="00F40195">
            <w:r w:rsidRPr="00F40195">
              <w:t>The research on diseconomies of small and large scale, which needs to assess both costs and outcomes, generally does not provide solid evidence for a consolidation policy</w:t>
            </w:r>
            <w:r w:rsidR="009739FE" w:rsidRPr="00F40195">
              <w:t xml:space="preserve">. </w:t>
            </w:r>
            <w:r w:rsidRPr="00F40195">
              <w:t>From an economic perspective, the concept of diseconomies of scale includes both costs and outputs</w:t>
            </w:r>
            <w:r w:rsidR="009739FE" w:rsidRPr="00F40195">
              <w:t xml:space="preserve">. </w:t>
            </w:r>
            <w:r w:rsidRPr="00F40195">
              <w:t>In an early 1981 review of the literature, Fox (1981) concluded that little research had analyzed output in combination with input and size variables</w:t>
            </w:r>
            <w:r w:rsidR="009739FE" w:rsidRPr="00F40195">
              <w:t xml:space="preserve">. </w:t>
            </w:r>
            <w:r w:rsidRPr="00F40195">
              <w:t>Ten years later, after assessing the meager extant research that did address costs as well as outcomes, Monk (1990) concluded that there was little support for either school or district consolidation.</w:t>
            </w:r>
          </w:p>
          <w:p w:rsidR="00796BAC" w:rsidRPr="00F40195" w:rsidRDefault="00796BAC" w:rsidP="00F40195"/>
          <w:p w:rsidR="00796BAC" w:rsidRPr="00F40195" w:rsidRDefault="00AB19F0" w:rsidP="00F40195">
            <w:r w:rsidRPr="00F40195">
              <w:t>These</w:t>
            </w:r>
            <w:r w:rsidR="00796BAC" w:rsidRPr="00F40195">
              <w:t xml:space="preserve"> findings suggest that the very large urban districts and schools across America are far beyond the optimum size and perhaps need to be downsized somehow, and that the potential cost savings from consolidation are realistically scant. In sum, the research suggests that elementary school </w:t>
            </w:r>
            <w:r w:rsidR="00796BAC" w:rsidRPr="00F40195">
              <w:rPr>
                <w:i/>
                <w:iCs/>
              </w:rPr>
              <w:t>units</w:t>
            </w:r>
            <w:r w:rsidR="00796BAC" w:rsidRPr="00F40195">
              <w:t xml:space="preserve"> be in the range of 400-500 students and that secondary school </w:t>
            </w:r>
            <w:r w:rsidR="00796BAC" w:rsidRPr="00F40195">
              <w:rPr>
                <w:i/>
                <w:iCs/>
              </w:rPr>
              <w:t>units</w:t>
            </w:r>
            <w:r w:rsidR="00796BAC" w:rsidRPr="00F40195">
              <w:t xml:space="preserve"> </w:t>
            </w:r>
            <w:proofErr w:type="gramStart"/>
            <w:r w:rsidR="00796BAC" w:rsidRPr="00F40195">
              <w:t>be</w:t>
            </w:r>
            <w:proofErr w:type="gramEnd"/>
            <w:r w:rsidR="00796BAC" w:rsidRPr="00F40195">
              <w:t xml:space="preserve"> in the range of 500-1,000 students.</w:t>
            </w:r>
          </w:p>
          <w:p w:rsidR="00796BAC" w:rsidRPr="00F40195" w:rsidRDefault="00796BAC" w:rsidP="00F40195"/>
          <w:p w:rsidR="00B030B2" w:rsidRPr="00F40195" w:rsidRDefault="00796BAC" w:rsidP="00F40195">
            <w:r w:rsidRPr="00F40195">
              <w:t>There is little evidence to support consolidation because very little research has been done that examines the necessary variables on costs and outputs (Fox, 1981, Monk, 1990). Expected cost savings from school and district consolidation programs that have been implemented have not been realized (Guthrie, 1979; Ornstein, 1990).</w:t>
            </w:r>
          </w:p>
        </w:tc>
      </w:tr>
    </w:tbl>
    <w:p w:rsidR="002A7FCB" w:rsidRPr="00F40195" w:rsidRDefault="002A7FCB" w:rsidP="00F40195">
      <w:pPr>
        <w:spacing w:line="240" w:lineRule="auto"/>
        <w:rPr>
          <w:rFonts w:cs="Times New Roman"/>
        </w:rPr>
      </w:pPr>
      <w:bookmarkStart w:id="89" w:name="_Toc47974477"/>
    </w:p>
    <w:p w:rsidR="006B6B73" w:rsidRPr="00D73E7C" w:rsidRDefault="003C4DC5" w:rsidP="00844962">
      <w:pPr>
        <w:pStyle w:val="Heading2"/>
      </w:pPr>
      <w:r w:rsidRPr="00F40195">
        <w:br w:type="page"/>
      </w:r>
      <w:bookmarkStart w:id="90" w:name="_Toc395180681"/>
      <w:r w:rsidR="006B6B73" w:rsidRPr="00D73E7C">
        <w:lastRenderedPageBreak/>
        <w:t>B</w:t>
      </w:r>
      <w:r w:rsidR="009739FE" w:rsidRPr="00D73E7C">
        <w:t xml:space="preserve">. </w:t>
      </w:r>
      <w:r w:rsidR="006B6B73" w:rsidRPr="00D73E7C">
        <w:t>Adequate Staffing for the Core Programs in Prototypical Schools</w:t>
      </w:r>
      <w:bookmarkEnd w:id="90"/>
    </w:p>
    <w:p w:rsidR="006B6B73" w:rsidRPr="00F40195" w:rsidRDefault="006B6B73" w:rsidP="00F40195">
      <w:pPr>
        <w:spacing w:line="240" w:lineRule="auto"/>
        <w:rPr>
          <w:rFonts w:cs="Times New Roman"/>
        </w:rPr>
      </w:pPr>
      <w:r w:rsidRPr="00F40195">
        <w:rPr>
          <w:rFonts w:cs="Times New Roman"/>
        </w:rPr>
        <w:t xml:space="preserve">This section covers personnel staffing for the major elements of the regular education program: core teachers, </w:t>
      </w:r>
      <w:r w:rsidR="00DC40D7" w:rsidRPr="00F40195">
        <w:rPr>
          <w:rFonts w:cs="Times New Roman"/>
        </w:rPr>
        <w:t>specialist</w:t>
      </w:r>
      <w:r w:rsidRPr="00F40195">
        <w:rPr>
          <w:rFonts w:cs="Times New Roman"/>
        </w:rPr>
        <w:t xml:space="preserve"> teachers, and instructional coaches. </w:t>
      </w:r>
    </w:p>
    <w:p w:rsidR="006B6B73" w:rsidRPr="00F40195" w:rsidRDefault="006B6B73" w:rsidP="008D674A">
      <w:pPr>
        <w:pStyle w:val="Heading3"/>
      </w:pPr>
      <w:bookmarkStart w:id="91" w:name="_Toc395180682"/>
      <w:r w:rsidRPr="00F40195">
        <w:t xml:space="preserve">B.5 Core </w:t>
      </w:r>
      <w:r w:rsidR="00113BE7" w:rsidRPr="00F40195">
        <w:t xml:space="preserve">Content </w:t>
      </w:r>
      <w:r w:rsidRPr="00F40195">
        <w:t>Teachers/Class Size</w:t>
      </w:r>
      <w:bookmarkEnd w:id="89"/>
      <w:bookmarkEnd w:id="91"/>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D81689" w:rsidP="00F40195">
            <w:pPr>
              <w:pStyle w:val="CommentText"/>
              <w:tabs>
                <w:tab w:val="left" w:pos="699"/>
              </w:tabs>
              <w:rPr>
                <w:b/>
              </w:rPr>
            </w:pPr>
            <w:r w:rsidRPr="00F40195">
              <w:rPr>
                <w:sz w:val="24"/>
                <w:szCs w:val="24"/>
              </w:rPr>
              <w:t>There is no specific provision in the KY SEEK formula for this element</w:t>
            </w:r>
            <w:r w:rsidR="009739FE" w:rsidRPr="00F40195">
              <w:rPr>
                <w:sz w:val="24"/>
                <w:szCs w:val="24"/>
              </w:rPr>
              <w:t xml:space="preserve">. </w:t>
            </w:r>
          </w:p>
        </w:tc>
        <w:tc>
          <w:tcPr>
            <w:tcW w:w="4788" w:type="dxa"/>
          </w:tcPr>
          <w:p w:rsidR="006B6B73" w:rsidRPr="00F40195" w:rsidRDefault="006B6B73" w:rsidP="00F40195">
            <w:pPr>
              <w:rPr>
                <w:szCs w:val="24"/>
              </w:rPr>
            </w:pPr>
            <w:r w:rsidRPr="00F40195">
              <w:rPr>
                <w:szCs w:val="24"/>
              </w:rPr>
              <w:t xml:space="preserve">Staffing ratios for </w:t>
            </w:r>
            <w:r w:rsidRPr="00F40195">
              <w:rPr>
                <w:b/>
                <w:szCs w:val="24"/>
              </w:rPr>
              <w:t xml:space="preserve">core </w:t>
            </w:r>
            <w:r w:rsidR="00113BE7" w:rsidRPr="00F40195">
              <w:rPr>
                <w:b/>
                <w:szCs w:val="24"/>
              </w:rPr>
              <w:t xml:space="preserve">content </w:t>
            </w:r>
            <w:r w:rsidRPr="00F40195">
              <w:rPr>
                <w:b/>
                <w:szCs w:val="24"/>
              </w:rPr>
              <w:t>teachers</w:t>
            </w:r>
            <w:r w:rsidRPr="00F40195">
              <w:rPr>
                <w:szCs w:val="24"/>
              </w:rPr>
              <w:t xml:space="preserve"> are:</w:t>
            </w:r>
          </w:p>
          <w:p w:rsidR="006B6B73" w:rsidRPr="00F40195" w:rsidRDefault="006B6B73" w:rsidP="00F40195">
            <w:pPr>
              <w:pStyle w:val="ListParagraph"/>
              <w:numPr>
                <w:ilvl w:val="0"/>
                <w:numId w:val="12"/>
              </w:numPr>
              <w:rPr>
                <w:szCs w:val="24"/>
              </w:rPr>
            </w:pPr>
            <w:r w:rsidRPr="00F40195">
              <w:t>15 to 1 for grades K-3</w:t>
            </w:r>
          </w:p>
          <w:p w:rsidR="006B6B73" w:rsidRPr="00F40195" w:rsidRDefault="006B6B73" w:rsidP="00F40195">
            <w:pPr>
              <w:pStyle w:val="ListParagraph"/>
              <w:numPr>
                <w:ilvl w:val="0"/>
                <w:numId w:val="12"/>
              </w:numPr>
            </w:pPr>
            <w:r w:rsidRPr="00F40195">
              <w:t>25 to 1 for grades 4-12</w:t>
            </w:r>
          </w:p>
          <w:p w:rsidR="006B6B73" w:rsidRPr="00F40195" w:rsidRDefault="006B6B73" w:rsidP="00F40195">
            <w:pPr>
              <w:rPr>
                <w:szCs w:val="24"/>
              </w:rPr>
            </w:pPr>
          </w:p>
          <w:p w:rsidR="008224FD" w:rsidRPr="00F40195" w:rsidRDefault="006B6B73" w:rsidP="00E960DE">
            <w:pPr>
              <w:rPr>
                <w:b/>
              </w:rPr>
            </w:pPr>
            <w:r w:rsidRPr="00F40195">
              <w:rPr>
                <w:szCs w:val="24"/>
              </w:rPr>
              <w:t>Core</w:t>
            </w:r>
            <w:r w:rsidR="00113BE7" w:rsidRPr="00F40195">
              <w:rPr>
                <w:szCs w:val="24"/>
              </w:rPr>
              <w:t xml:space="preserve"> content</w:t>
            </w:r>
            <w:r w:rsidRPr="00F40195">
              <w:rPr>
                <w:szCs w:val="24"/>
              </w:rPr>
              <w:t xml:space="preserve"> teachers are defined as the grade-level classroom teachers in elementary schools and the </w:t>
            </w:r>
            <w:r w:rsidR="00FF0257" w:rsidRPr="00F40195">
              <w:rPr>
                <w:szCs w:val="24"/>
              </w:rPr>
              <w:t>core content area</w:t>
            </w:r>
            <w:r w:rsidR="00B9037A" w:rsidRPr="00F40195">
              <w:rPr>
                <w:szCs w:val="24"/>
              </w:rPr>
              <w:t xml:space="preserve"> teacher</w:t>
            </w:r>
            <w:r w:rsidR="00E12CAC" w:rsidRPr="00F40195">
              <w:rPr>
                <w:szCs w:val="24"/>
              </w:rPr>
              <w:t>s</w:t>
            </w:r>
            <w:r w:rsidR="003F713A" w:rsidRPr="00F40195">
              <w:rPr>
                <w:szCs w:val="24"/>
              </w:rPr>
              <w:t xml:space="preserve">. Core content areas subjects include </w:t>
            </w:r>
            <w:r w:rsidRPr="00F40195">
              <w:rPr>
                <w:szCs w:val="24"/>
              </w:rPr>
              <w:t>mathematics, science, language arts, social studies</w:t>
            </w:r>
            <w:r w:rsidR="00EC6F3C" w:rsidRPr="00F40195">
              <w:rPr>
                <w:szCs w:val="24"/>
              </w:rPr>
              <w:t>,</w:t>
            </w:r>
            <w:r w:rsidRPr="00F40195">
              <w:rPr>
                <w:szCs w:val="24"/>
              </w:rPr>
              <w:t xml:space="preserve"> and world language</w:t>
            </w:r>
            <w:r w:rsidR="00EC6F3C" w:rsidRPr="00F40195">
              <w:rPr>
                <w:szCs w:val="24"/>
              </w:rPr>
              <w:t>, the latter</w:t>
            </w:r>
            <w:r w:rsidRPr="00F40195">
              <w:rPr>
                <w:szCs w:val="24"/>
              </w:rPr>
              <w:t xml:space="preserve"> </w:t>
            </w:r>
            <w:r w:rsidR="00B9037A" w:rsidRPr="00F40195">
              <w:rPr>
                <w:szCs w:val="24"/>
              </w:rPr>
              <w:t>in middle and high schools.</w:t>
            </w:r>
          </w:p>
        </w:tc>
      </w:tr>
      <w:tr w:rsidR="00C85A07" w:rsidRPr="00F40195">
        <w:tc>
          <w:tcPr>
            <w:tcW w:w="4788" w:type="dxa"/>
          </w:tcPr>
          <w:p w:rsidR="00C85A07" w:rsidRPr="00F40195" w:rsidRDefault="00C85A07" w:rsidP="00F40195">
            <w:pPr>
              <w:rPr>
                <w:b/>
                <w:szCs w:val="24"/>
              </w:rPr>
            </w:pPr>
            <w:r w:rsidRPr="00F40195">
              <w:rPr>
                <w:b/>
              </w:rPr>
              <w:t>Stakeholder Panel Recommendation</w:t>
            </w:r>
          </w:p>
        </w:tc>
        <w:tc>
          <w:tcPr>
            <w:tcW w:w="4788" w:type="dxa"/>
          </w:tcPr>
          <w:p w:rsidR="00C85A07" w:rsidRPr="00F40195" w:rsidRDefault="00C85A07" w:rsidP="00F40195">
            <w:pPr>
              <w:rPr>
                <w:szCs w:val="24"/>
              </w:rPr>
            </w:pPr>
            <w:r w:rsidRPr="00F40195">
              <w:rPr>
                <w:b/>
              </w:rPr>
              <w:t>Advisory Committee Recommendation</w:t>
            </w:r>
          </w:p>
        </w:tc>
      </w:tr>
      <w:tr w:rsidR="00C85A07" w:rsidRPr="00F40195">
        <w:tc>
          <w:tcPr>
            <w:tcW w:w="4788" w:type="dxa"/>
          </w:tcPr>
          <w:p w:rsidR="00C85A07" w:rsidRPr="00F40195" w:rsidRDefault="00485BAD" w:rsidP="00844962">
            <w:pPr>
              <w:pStyle w:val="Default"/>
            </w:pPr>
            <w:r w:rsidRPr="00F40195">
              <w:rPr>
                <w:rFonts w:eastAsiaTheme="minorHAnsi"/>
                <w:szCs w:val="22"/>
              </w:rPr>
              <w:t>Same as EB Model. Class size needs to be capped at the K-3 ratios. 25:1 is not universally appropriate above 4</w:t>
            </w:r>
            <w:r w:rsidRPr="00F40195">
              <w:rPr>
                <w:rFonts w:eastAsiaTheme="minorHAnsi"/>
                <w:szCs w:val="22"/>
                <w:vertAlign w:val="superscript"/>
              </w:rPr>
              <w:t>th</w:t>
            </w:r>
            <w:r w:rsidRPr="00F40195">
              <w:rPr>
                <w:rFonts w:eastAsiaTheme="minorHAnsi"/>
                <w:szCs w:val="22"/>
              </w:rPr>
              <w:t xml:space="preserve"> gr</w:t>
            </w:r>
            <w:r w:rsidR="00CC1F61" w:rsidRPr="00F40195">
              <w:rPr>
                <w:rFonts w:eastAsiaTheme="minorHAnsi"/>
                <w:szCs w:val="22"/>
              </w:rPr>
              <w:t>ade. The combination of student</w:t>
            </w:r>
            <w:r w:rsidRPr="00F40195">
              <w:rPr>
                <w:rFonts w:eastAsiaTheme="minorHAnsi"/>
                <w:szCs w:val="22"/>
              </w:rPr>
              <w:t xml:space="preserve"> </w:t>
            </w:r>
            <w:r w:rsidR="00E960DE">
              <w:rPr>
                <w:rFonts w:eastAsiaTheme="minorHAnsi"/>
                <w:szCs w:val="22"/>
              </w:rPr>
              <w:t xml:space="preserve">academic </w:t>
            </w:r>
            <w:r w:rsidRPr="00F40195">
              <w:rPr>
                <w:rFonts w:eastAsiaTheme="minorHAnsi"/>
                <w:szCs w:val="22"/>
              </w:rPr>
              <w:t>need</w:t>
            </w:r>
            <w:r w:rsidR="00E960DE">
              <w:rPr>
                <w:rFonts w:eastAsiaTheme="minorHAnsi"/>
                <w:szCs w:val="22"/>
              </w:rPr>
              <w:t>s in a classroom</w:t>
            </w:r>
            <w:r w:rsidRPr="00F40195">
              <w:rPr>
                <w:rFonts w:eastAsiaTheme="minorHAnsi"/>
                <w:szCs w:val="22"/>
              </w:rPr>
              <w:t xml:space="preserve"> </w:t>
            </w:r>
            <w:r w:rsidR="00CC1F61" w:rsidRPr="00F40195">
              <w:rPr>
                <w:rFonts w:eastAsiaTheme="minorHAnsi"/>
                <w:szCs w:val="22"/>
              </w:rPr>
              <w:t>should</w:t>
            </w:r>
            <w:r w:rsidRPr="00F40195">
              <w:rPr>
                <w:rFonts w:eastAsiaTheme="minorHAnsi"/>
                <w:szCs w:val="22"/>
              </w:rPr>
              <w:t xml:space="preserve"> be considered.</w:t>
            </w:r>
          </w:p>
        </w:tc>
        <w:tc>
          <w:tcPr>
            <w:tcW w:w="4788" w:type="dxa"/>
          </w:tcPr>
          <w:p w:rsidR="00C85A07" w:rsidRPr="00F40195" w:rsidRDefault="00485BAD" w:rsidP="00F40195">
            <w:pPr>
              <w:rPr>
                <w:szCs w:val="24"/>
              </w:rPr>
            </w:pPr>
            <w:r w:rsidRPr="00F40195">
              <w:rPr>
                <w:rFonts w:eastAsiaTheme="minorHAnsi"/>
                <w:szCs w:val="22"/>
              </w:rPr>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6B6B73" w:rsidP="00F40195">
            <w:r w:rsidRPr="00F40195">
              <w:t>T</w:t>
            </w:r>
            <w:r w:rsidR="000274C3" w:rsidRPr="00F40195">
              <w:t>he T</w:t>
            </w:r>
            <w:r w:rsidRPr="00F40195">
              <w:t>ennessee STAR study</w:t>
            </w:r>
            <w:r w:rsidR="00B9037A" w:rsidRPr="00F40195">
              <w:t>, a randomized controlled trial experiment,</w:t>
            </w:r>
            <w:r w:rsidR="008671DA" w:rsidRPr="00F40195">
              <w:t xml:space="preserve"> found that students</w:t>
            </w:r>
            <w:r w:rsidR="00B9037A" w:rsidRPr="00F40195">
              <w:t xml:space="preserve"> in</w:t>
            </w:r>
            <w:r w:rsidR="008671DA" w:rsidRPr="00F40195">
              <w:t xml:space="preserve"> kindergarten to grade 3 in the small classes achieved at a significantly higher level than those in regular class sizes, and that the impact</w:t>
            </w:r>
            <w:r w:rsidR="00A125E8" w:rsidRPr="00F40195">
              <w:t xml:space="preserve"> </w:t>
            </w:r>
            <w:r w:rsidR="00B9037A" w:rsidRPr="00F40195">
              <w:t xml:space="preserve">was </w:t>
            </w:r>
            <w:r w:rsidR="008671DA" w:rsidRPr="00F40195">
              <w:t>even larger for low income and minority students (Finn, 2002; Finn and Achilles, 1999; Grissmer, 1999; Krueger, 2002;</w:t>
            </w:r>
            <w:r w:rsidR="00D95174" w:rsidRPr="00F40195">
              <w:t xml:space="preserve"> </w:t>
            </w:r>
            <w:r w:rsidR="008671DA" w:rsidRPr="00F40195">
              <w:t>Word, et al., 1990).</w:t>
            </w:r>
            <w:r w:rsidR="009739FE" w:rsidRPr="00F40195">
              <w:t xml:space="preserve"> </w:t>
            </w:r>
            <w:r w:rsidRPr="00F40195">
              <w:t xml:space="preserve">The same research also showed that a regular class of 24-25 with a teacher and an instructional aide </w:t>
            </w:r>
            <w:r w:rsidRPr="00F40195">
              <w:rPr>
                <w:i/>
              </w:rPr>
              <w:t>did not</w:t>
            </w:r>
            <w:r w:rsidRPr="00F40195">
              <w:t xml:space="preserve"> produce a discernible positive impact on student achievement, a finding that undercuts proposals and wide spread practices that place instructional aides in elementary classrooms (Gerber, Finn, Achilles, &amp; Boyd-Zaharias, 2001).</w:t>
            </w:r>
            <w:r w:rsidR="005F4526" w:rsidRPr="00F40195">
              <w:t xml:space="preserve"> </w:t>
            </w:r>
          </w:p>
          <w:p w:rsidR="006B6B73" w:rsidRPr="00F40195" w:rsidRDefault="006B6B73" w:rsidP="00F40195"/>
          <w:p w:rsidR="006B6B73" w:rsidRDefault="008671DA" w:rsidP="00F40195">
            <w:pPr>
              <w:rPr>
                <w:rFonts w:eastAsiaTheme="minorHAnsi"/>
                <w:szCs w:val="22"/>
              </w:rPr>
            </w:pPr>
            <w:r w:rsidRPr="00F40195">
              <w:t>T</w:t>
            </w:r>
            <w:r w:rsidR="006B6B73" w:rsidRPr="00F40195">
              <w:t xml:space="preserve">he positive impacts of the small classes in the Tennessee study persisted into middle and high school years, and even the years beyond high school (Finn, Gerger, Achilles &amp; J.B. Zaharias, 2001; </w:t>
            </w:r>
            <w:proofErr w:type="gramStart"/>
            <w:r w:rsidR="006B6B73" w:rsidRPr="00F40195">
              <w:t>Konstantopulos  &amp;</w:t>
            </w:r>
            <w:proofErr w:type="gramEnd"/>
            <w:r w:rsidR="006B6B73" w:rsidRPr="00F40195">
              <w:t xml:space="preserve"> Chung, 2009; Krueger, 2002; Mishel &amp; Rothstein, 2002; Nye, Hedges &amp; </w:t>
            </w:r>
            <w:r w:rsidR="009739FE" w:rsidRPr="00F40195">
              <w:t xml:space="preserve">Konstantopulos, 2001a, 2001b). </w:t>
            </w:r>
            <w:r w:rsidR="005F4526" w:rsidRPr="00F40195">
              <w:t xml:space="preserve">The longer students were in small classes (i.e., in grades K, 1, 2 and 3) the greater the impact on grade 4-8 achievement. </w:t>
            </w:r>
            <w:r w:rsidR="00F36D47" w:rsidRPr="00F40195">
              <w:t>This study</w:t>
            </w:r>
            <w:r w:rsidR="005F4526" w:rsidRPr="00F40195">
              <w:t xml:space="preserve"> concluded that the full treatment – small classes in all of the first four grades – </w:t>
            </w:r>
            <w:r w:rsidR="009739FE" w:rsidRPr="00F40195">
              <w:t>had the greatest short- and long-</w:t>
            </w:r>
            <w:r w:rsidR="005F4526" w:rsidRPr="00F40195">
              <w:t xml:space="preserve">term impacts (Konstantopoulos and Chung, 2009). </w:t>
            </w:r>
            <w:r w:rsidR="006B6B73" w:rsidRPr="00F40195">
              <w:t>Longitudinal research on class size reduction also found that the lasting benefits of small classes can include a reduction in the achievement gap in reading and mathematics in later grades (Krueger &amp; Whitmore, 2001).</w:t>
            </w:r>
          </w:p>
          <w:p w:rsidR="00623772" w:rsidRPr="00F40195" w:rsidRDefault="00623772" w:rsidP="00F40195">
            <w:pPr>
              <w:rPr>
                <w:rFonts w:eastAsiaTheme="minorHAnsi"/>
                <w:szCs w:val="22"/>
              </w:rPr>
            </w:pPr>
          </w:p>
          <w:p w:rsidR="00EC32CD" w:rsidRPr="00F40195" w:rsidRDefault="006B6B73" w:rsidP="00F40195">
            <w:r w:rsidRPr="00F40195">
              <w:t>Evidence on the most effective class sizes in grades 4-12 is harder to find</w:t>
            </w:r>
            <w:r w:rsidR="009739FE" w:rsidRPr="00F40195">
              <w:t xml:space="preserve">. </w:t>
            </w:r>
            <w:r w:rsidRPr="00F40195">
              <w:t>Most of the research on class size reduction has been cond</w:t>
            </w:r>
            <w:r w:rsidR="009739FE" w:rsidRPr="00F40195">
              <w:t xml:space="preserve">ucted at the elementary level. </w:t>
            </w:r>
            <w:r w:rsidR="005F4526" w:rsidRPr="00F40195">
              <w:t>T</w:t>
            </w:r>
            <w:r w:rsidRPr="00F40195">
              <w:t>he national average class size in middle</w:t>
            </w:r>
            <w:r w:rsidR="009739FE" w:rsidRPr="00F40195">
              <w:t xml:space="preserve"> and high schools is about 25. </w:t>
            </w:r>
            <w:r w:rsidR="005F4526" w:rsidRPr="00F40195">
              <w:t>N</w:t>
            </w:r>
            <w:r w:rsidRPr="00F40195">
              <w:t>early all comprehensive school reform models are developed on the basis of a class size of 25</w:t>
            </w:r>
            <w:r w:rsidR="005F4526" w:rsidRPr="00F40195">
              <w:t>, which is the result of general practice and professional judgment</w:t>
            </w:r>
            <w:r w:rsidRPr="00F40195">
              <w:t xml:space="preserve"> (Odden, 1997a; Stringfield, Ross &amp; Smith, 1996)</w:t>
            </w:r>
            <w:r w:rsidR="005F4526" w:rsidRPr="00F40195">
              <w:t>.</w:t>
            </w:r>
          </w:p>
          <w:p w:rsidR="007B27BE" w:rsidRPr="00F40195" w:rsidRDefault="007B27BE" w:rsidP="00F40195"/>
          <w:p w:rsidR="00301094" w:rsidRPr="00F40195" w:rsidRDefault="006B6B73" w:rsidP="00F40195">
            <w:r w:rsidRPr="00F40195">
              <w:t>Finally in these times when funds for schools are scarce, it is legitimate to raise the issue of the cost of small classes versus t</w:t>
            </w:r>
            <w:r w:rsidR="009739FE" w:rsidRPr="00F40195">
              <w:t xml:space="preserve">he benefits. </w:t>
            </w:r>
            <w:r w:rsidRPr="00F40195">
              <w:t xml:space="preserve">Whitehurst and Cringos (2011) argue that though the Tennessee STAR study supports the efficacy of small classes, </w:t>
            </w:r>
            <w:r w:rsidR="00664FED" w:rsidRPr="00F40195">
              <w:t xml:space="preserve">recent </w:t>
            </w:r>
            <w:r w:rsidRPr="00F40195">
              <w:t xml:space="preserve">research </w:t>
            </w:r>
            <w:r w:rsidR="00664FED" w:rsidRPr="00F40195">
              <w:t>has</w:t>
            </w:r>
            <w:r w:rsidRPr="00F40195">
              <w:t xml:space="preserve"> produced more ambiguous conclusions</w:t>
            </w:r>
            <w:r w:rsidR="00664FED" w:rsidRPr="00F40195">
              <w:t xml:space="preserve"> related to class size</w:t>
            </w:r>
            <w:r w:rsidRPr="00F40195">
              <w:t>.</w:t>
            </w:r>
            <w:r w:rsidR="009739FE" w:rsidRPr="00F40195">
              <w:t xml:space="preserve"> </w:t>
            </w:r>
            <w:r w:rsidR="00664FED" w:rsidRPr="00F40195">
              <w:t>T</w:t>
            </w:r>
            <w:r w:rsidRPr="00F40195">
              <w:t xml:space="preserve">hey also note that </w:t>
            </w:r>
            <w:r w:rsidR="00664FED" w:rsidRPr="00F40195">
              <w:t xml:space="preserve">this more recent </w:t>
            </w:r>
            <w:r w:rsidRPr="00F40195">
              <w:t xml:space="preserve">research includes class size reductions in grades above K-3 and </w:t>
            </w:r>
            <w:r w:rsidR="00301094" w:rsidRPr="00F40195">
              <w:t xml:space="preserve">most of it relies on </w:t>
            </w:r>
            <w:r w:rsidRPr="00F40195">
              <w:t xml:space="preserve">“natural experiments” rather than randomized controlled trials. </w:t>
            </w:r>
            <w:r w:rsidR="00301094" w:rsidRPr="00F40195">
              <w:t>Moreover, t</w:t>
            </w:r>
            <w:r w:rsidRPr="00F40195">
              <w:t>hey conclude</w:t>
            </w:r>
            <w:r w:rsidR="00A125E8" w:rsidRPr="00F40195">
              <w:t>,</w:t>
            </w:r>
            <w:r w:rsidRPr="00F40195">
              <w:t xml:space="preserve"> while the costs of small classes are high, the benefits, particularly the long-term benefits, outweigh the costs and conclude that small class sizes “pay their way.”</w:t>
            </w:r>
            <w:r w:rsidR="00301094" w:rsidRPr="00F40195">
              <w:t xml:space="preserve">  </w:t>
            </w:r>
            <w:r w:rsidR="0071771E" w:rsidRPr="00F40195">
              <w:t>Research that allegedly counters the Tennessee STAR study has generally been conducted using less rigorous methods (Whitehurst and Cringos, 2011)</w:t>
            </w:r>
            <w:r w:rsidR="00872844">
              <w:t xml:space="preserve"> but even these authors conclude that benefits of small classes in grades K-3 outweigh the costs</w:t>
            </w:r>
            <w:r w:rsidR="0071771E" w:rsidRPr="00F40195">
              <w:t>.</w:t>
            </w:r>
          </w:p>
          <w:p w:rsidR="00301094" w:rsidRPr="00F40195" w:rsidRDefault="00301094" w:rsidP="00F40195"/>
          <w:p w:rsidR="0064372C" w:rsidRPr="00F40195" w:rsidRDefault="00301094" w:rsidP="00F40195">
            <w:pPr>
              <w:rPr>
                <w:b/>
              </w:rPr>
            </w:pPr>
            <w:r w:rsidRPr="00F40195">
              <w:t>Thus the investment in small classes appears to be</w:t>
            </w:r>
            <w:r w:rsidR="00872844">
              <w:t xml:space="preserve"> part of the</w:t>
            </w:r>
            <w:r w:rsidRPr="00F40195">
              <w:t xml:space="preserve"> long</w:t>
            </w:r>
            <w:r w:rsidR="00660837" w:rsidRPr="00F40195">
              <w:t>-</w:t>
            </w:r>
            <w:r w:rsidRPr="00F40195">
              <w:t>term solution for</w:t>
            </w:r>
            <w:r w:rsidR="009739FE" w:rsidRPr="00F40195">
              <w:t xml:space="preserve"> improving student performance.</w:t>
            </w:r>
            <w:r w:rsidRPr="00F40195">
              <w:t xml:space="preserve"> It is possible that some of the strategies for struggling students and for </w:t>
            </w:r>
            <w:r w:rsidR="00A125E8" w:rsidRPr="00F40195">
              <w:t xml:space="preserve">professional development </w:t>
            </w:r>
            <w:r w:rsidRPr="00F40195">
              <w:t xml:space="preserve">can provide more immediate gains at a lower initial cost. Policy makers </w:t>
            </w:r>
            <w:r w:rsidR="00A62E1F" w:rsidRPr="00F40195">
              <w:t>should investigate</w:t>
            </w:r>
            <w:r w:rsidRPr="00F40195">
              <w:t xml:space="preserve"> </w:t>
            </w:r>
            <w:r w:rsidR="00A62E1F" w:rsidRPr="00F40195">
              <w:t>cost-benefit differences between various strategies when implementing fiscal reform over time</w:t>
            </w:r>
            <w:r w:rsidR="009739FE" w:rsidRPr="00F40195">
              <w:t xml:space="preserve">. </w:t>
            </w:r>
          </w:p>
        </w:tc>
      </w:tr>
    </w:tbl>
    <w:p w:rsidR="006B6B73" w:rsidRPr="00F40195" w:rsidRDefault="006B6B73" w:rsidP="00F40195">
      <w:pPr>
        <w:spacing w:line="240" w:lineRule="auto"/>
        <w:rPr>
          <w:rFonts w:cs="Times New Roman"/>
        </w:rPr>
      </w:pPr>
    </w:p>
    <w:p w:rsidR="009739FE" w:rsidRPr="00F40195" w:rsidRDefault="009739FE" w:rsidP="00F40195">
      <w:pPr>
        <w:spacing w:line="240" w:lineRule="auto"/>
        <w:rPr>
          <w:rFonts w:cs="Times New Roman"/>
        </w:rPr>
      </w:pPr>
      <w:r w:rsidRPr="00F40195">
        <w:rPr>
          <w:rFonts w:cs="Times New Roman"/>
        </w:rPr>
        <w:br w:type="page"/>
      </w:r>
    </w:p>
    <w:p w:rsidR="006B6B73" w:rsidRPr="00F40195" w:rsidRDefault="006B6B73" w:rsidP="008D674A">
      <w:pPr>
        <w:pStyle w:val="Heading3"/>
      </w:pPr>
      <w:bookmarkStart w:id="92" w:name="_Toc395180683"/>
      <w:bookmarkStart w:id="93" w:name="_Toc47974481"/>
      <w:r w:rsidRPr="00F40195">
        <w:lastRenderedPageBreak/>
        <w:t xml:space="preserve">B.6 </w:t>
      </w:r>
      <w:r w:rsidR="00DC40D7" w:rsidRPr="00F40195">
        <w:t xml:space="preserve">Specialist </w:t>
      </w:r>
      <w:r w:rsidRPr="00F40195">
        <w:t>Teachers</w:t>
      </w:r>
      <w:bookmarkEnd w:id="92"/>
      <w:r w:rsidRPr="00F40195">
        <w:t xml:space="preserve"> </w:t>
      </w:r>
      <w:bookmarkEnd w:id="93"/>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D81689"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C00A5A" w:rsidRPr="00F40195" w:rsidRDefault="006B6B73" w:rsidP="00F40195">
            <w:pPr>
              <w:pStyle w:val="CommentText"/>
              <w:rPr>
                <w:sz w:val="24"/>
                <w:szCs w:val="24"/>
              </w:rPr>
            </w:pPr>
            <w:r w:rsidRPr="00F40195">
              <w:rPr>
                <w:sz w:val="24"/>
                <w:szCs w:val="24"/>
              </w:rPr>
              <w:t xml:space="preserve">Resources for </w:t>
            </w:r>
            <w:r w:rsidR="00DC40D7" w:rsidRPr="00F40195">
              <w:rPr>
                <w:sz w:val="24"/>
                <w:szCs w:val="24"/>
              </w:rPr>
              <w:t>specialist</w:t>
            </w:r>
            <w:r w:rsidRPr="00F40195">
              <w:rPr>
                <w:sz w:val="24"/>
                <w:szCs w:val="24"/>
              </w:rPr>
              <w:t xml:space="preserve"> teachers are provided in addition to the number of core </w:t>
            </w:r>
            <w:r w:rsidR="00A62E1F" w:rsidRPr="00F40195">
              <w:rPr>
                <w:sz w:val="24"/>
                <w:szCs w:val="24"/>
              </w:rPr>
              <w:t xml:space="preserve">content </w:t>
            </w:r>
            <w:r w:rsidRPr="00F40195">
              <w:rPr>
                <w:sz w:val="24"/>
                <w:szCs w:val="24"/>
              </w:rPr>
              <w:t>t</w:t>
            </w:r>
            <w:r w:rsidR="00AC576B">
              <w:rPr>
                <w:sz w:val="24"/>
                <w:szCs w:val="24"/>
              </w:rPr>
              <w:t>eachers, at the following rate:</w:t>
            </w:r>
          </w:p>
          <w:p w:rsidR="006B6B73" w:rsidRPr="00F40195" w:rsidRDefault="006B6B73" w:rsidP="00F40195">
            <w:pPr>
              <w:pStyle w:val="CommentText"/>
              <w:numPr>
                <w:ilvl w:val="0"/>
                <w:numId w:val="13"/>
              </w:numPr>
              <w:rPr>
                <w:sz w:val="24"/>
                <w:szCs w:val="24"/>
              </w:rPr>
            </w:pPr>
            <w:r w:rsidRPr="00F40195">
              <w:rPr>
                <w:sz w:val="24"/>
              </w:rPr>
              <w:t>20 percent for elementary teachers</w:t>
            </w:r>
          </w:p>
          <w:p w:rsidR="006B6B73" w:rsidRPr="00F40195" w:rsidRDefault="006B6B73" w:rsidP="00F40195">
            <w:pPr>
              <w:pStyle w:val="CommentText"/>
              <w:numPr>
                <w:ilvl w:val="0"/>
                <w:numId w:val="13"/>
              </w:numPr>
              <w:rPr>
                <w:sz w:val="24"/>
              </w:rPr>
            </w:pPr>
            <w:r w:rsidRPr="00F40195">
              <w:rPr>
                <w:sz w:val="24"/>
              </w:rPr>
              <w:t>20 percent middle school teachers</w:t>
            </w:r>
          </w:p>
          <w:p w:rsidR="006B6B73" w:rsidRPr="00F40195" w:rsidRDefault="006B6B73" w:rsidP="00F40195">
            <w:pPr>
              <w:pStyle w:val="CommentText"/>
              <w:numPr>
                <w:ilvl w:val="0"/>
                <w:numId w:val="13"/>
              </w:numPr>
              <w:rPr>
                <w:sz w:val="24"/>
              </w:rPr>
            </w:pPr>
            <w:r w:rsidRPr="00F40195">
              <w:rPr>
                <w:sz w:val="24"/>
              </w:rPr>
              <w:t>33 percent high school teachers</w:t>
            </w:r>
          </w:p>
          <w:p w:rsidR="006B6B73" w:rsidRPr="00F40195" w:rsidRDefault="006B6B73" w:rsidP="00F40195">
            <w:pPr>
              <w:pStyle w:val="CommentText"/>
              <w:rPr>
                <w:sz w:val="24"/>
              </w:rPr>
            </w:pPr>
          </w:p>
          <w:p w:rsidR="006B6B73" w:rsidRDefault="00DC40D7" w:rsidP="00F40195">
            <w:pPr>
              <w:pStyle w:val="CommentText"/>
              <w:rPr>
                <w:sz w:val="24"/>
                <w:szCs w:val="24"/>
              </w:rPr>
            </w:pPr>
            <w:r w:rsidRPr="00F40195">
              <w:rPr>
                <w:sz w:val="24"/>
                <w:szCs w:val="24"/>
              </w:rPr>
              <w:t>The EB approach defines</w:t>
            </w:r>
            <w:r w:rsidR="006B6B73" w:rsidRPr="00F40195">
              <w:rPr>
                <w:sz w:val="24"/>
                <w:szCs w:val="24"/>
              </w:rPr>
              <w:t xml:space="preserve"> </w:t>
            </w:r>
            <w:r w:rsidRPr="00F40195">
              <w:rPr>
                <w:sz w:val="24"/>
                <w:szCs w:val="24"/>
              </w:rPr>
              <w:t xml:space="preserve">specialist </w:t>
            </w:r>
            <w:r w:rsidR="006B6B73" w:rsidRPr="00F40195">
              <w:rPr>
                <w:sz w:val="24"/>
                <w:szCs w:val="24"/>
              </w:rPr>
              <w:t>teachers as all teachers for subject areas not included in core</w:t>
            </w:r>
            <w:r w:rsidR="00B51E1F" w:rsidRPr="00F40195">
              <w:rPr>
                <w:sz w:val="24"/>
                <w:szCs w:val="24"/>
              </w:rPr>
              <w:t xml:space="preserve"> content areas</w:t>
            </w:r>
            <w:r w:rsidR="006B6B73" w:rsidRPr="00F40195">
              <w:rPr>
                <w:sz w:val="24"/>
                <w:szCs w:val="24"/>
              </w:rPr>
              <w:t xml:space="preserve">. For example, art, music, physical education, health, and </w:t>
            </w:r>
            <w:r w:rsidR="00B51E1F" w:rsidRPr="00F40195">
              <w:rPr>
                <w:sz w:val="24"/>
                <w:szCs w:val="24"/>
              </w:rPr>
              <w:t>career and technical education.</w:t>
            </w:r>
            <w:r w:rsidR="001163B2" w:rsidRPr="00F40195">
              <w:rPr>
                <w:sz w:val="24"/>
                <w:szCs w:val="24"/>
              </w:rPr>
              <w:t xml:space="preserve"> The proposed ratios offer not only an enriched </w:t>
            </w:r>
            <w:r w:rsidR="00EC6F3C" w:rsidRPr="00F40195">
              <w:rPr>
                <w:sz w:val="24"/>
                <w:szCs w:val="24"/>
              </w:rPr>
              <w:t xml:space="preserve">student </w:t>
            </w:r>
            <w:r w:rsidR="001163B2" w:rsidRPr="00F40195">
              <w:rPr>
                <w:sz w:val="24"/>
                <w:szCs w:val="24"/>
              </w:rPr>
              <w:t>curriculum, but also</w:t>
            </w:r>
            <w:r w:rsidR="004A487E" w:rsidRPr="00F40195">
              <w:rPr>
                <w:sz w:val="24"/>
                <w:szCs w:val="24"/>
              </w:rPr>
              <w:t xml:space="preserve"> allow</w:t>
            </w:r>
            <w:r w:rsidR="001163B2" w:rsidRPr="00F40195">
              <w:rPr>
                <w:sz w:val="24"/>
                <w:szCs w:val="24"/>
              </w:rPr>
              <w:t xml:space="preserve"> for all teachers to have planning and prep time.</w:t>
            </w:r>
          </w:p>
          <w:p w:rsidR="008224FD" w:rsidRPr="00F40195" w:rsidRDefault="008224FD" w:rsidP="00F40195">
            <w:pPr>
              <w:pStyle w:val="CommentText"/>
              <w:rPr>
                <w:rFonts w:eastAsiaTheme="minorHAnsi"/>
                <w:b/>
                <w:szCs w:val="22"/>
              </w:rPr>
            </w:pP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pPr>
              <w:pStyle w:val="CommentText"/>
              <w:rPr>
                <w:sz w:val="24"/>
                <w:szCs w:val="24"/>
                <w:highlight w:val="yellow"/>
              </w:rPr>
            </w:pPr>
            <w:r w:rsidRPr="00F40195">
              <w:rPr>
                <w:b/>
                <w:sz w:val="24"/>
                <w:szCs w:val="24"/>
              </w:rPr>
              <w:t>Advisory Committee Recommendation</w:t>
            </w:r>
          </w:p>
        </w:tc>
      </w:tr>
      <w:tr w:rsidR="00C85A07" w:rsidRPr="00F40195">
        <w:tc>
          <w:tcPr>
            <w:tcW w:w="4788" w:type="dxa"/>
          </w:tcPr>
          <w:p w:rsidR="00C85A07" w:rsidRPr="00F40195" w:rsidRDefault="006772B2" w:rsidP="00844962">
            <w:pPr>
              <w:pStyle w:val="Default"/>
            </w:pPr>
            <w:r w:rsidRPr="00F40195">
              <w:t>General agreement with EB Model. High schools may be better served by a 40 percent rate instead of 33.</w:t>
            </w:r>
            <w:r w:rsidR="00603132" w:rsidRPr="00F40195">
              <w:t>33 percent</w:t>
            </w:r>
          </w:p>
        </w:tc>
        <w:tc>
          <w:tcPr>
            <w:tcW w:w="4788" w:type="dxa"/>
          </w:tcPr>
          <w:p w:rsidR="00C85A07" w:rsidRPr="00F40195" w:rsidRDefault="006772B2" w:rsidP="00F40195">
            <w:pPr>
              <w:pStyle w:val="CommentText"/>
              <w:rPr>
                <w:sz w:val="24"/>
                <w:szCs w:val="24"/>
                <w:highlight w:val="yellow"/>
              </w:rPr>
            </w:pPr>
            <w:r w:rsidRPr="00F40195">
              <w:rPr>
                <w:sz w:val="24"/>
                <w:szCs w:val="24"/>
              </w:rPr>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EE0EAE" w:rsidRPr="00F40195" w:rsidRDefault="00DC40D7" w:rsidP="00F40195">
            <w:r w:rsidRPr="00F40195">
              <w:t>Specialist</w:t>
            </w:r>
            <w:r w:rsidR="00EE0EAE" w:rsidRPr="00F40195">
              <w:t xml:space="preserve"> courses can be divided into several categories</w:t>
            </w:r>
            <w:r w:rsidR="006772B2" w:rsidRPr="00F40195">
              <w:t>, like</w:t>
            </w:r>
            <w:r w:rsidR="00EE0EAE" w:rsidRPr="00F40195">
              <w:t xml:space="preserve"> </w:t>
            </w:r>
            <w:r w:rsidR="0007263B" w:rsidRPr="00F40195">
              <w:t xml:space="preserve">the arts, physical education, and </w:t>
            </w:r>
            <w:r w:rsidR="00EE0EAE" w:rsidRPr="00F40195">
              <w:t xml:space="preserve">career and technical education. There is limited research on the general impact of </w:t>
            </w:r>
            <w:r w:rsidRPr="00F40195">
              <w:t>specialist</w:t>
            </w:r>
            <w:r w:rsidR="00EE0EAE" w:rsidRPr="00F40195">
              <w:t xml:space="preserve"> courses on student academic outcomes, but there are a few examples of rigorous research that do reflect a positive relationship between some types of </w:t>
            </w:r>
            <w:r w:rsidRPr="00F40195">
              <w:t xml:space="preserve">specialist courses </w:t>
            </w:r>
            <w:r w:rsidR="00EE0EAE" w:rsidRPr="00F40195">
              <w:t>and academic achievement.</w:t>
            </w:r>
          </w:p>
          <w:p w:rsidR="00EE0EAE" w:rsidRPr="00F40195" w:rsidRDefault="00EE0EAE" w:rsidP="00F40195"/>
          <w:p w:rsidR="00EE0EAE" w:rsidRPr="00F40195" w:rsidRDefault="00EE0EAE" w:rsidP="00F40195">
            <w:r w:rsidRPr="00F40195">
              <w:t xml:space="preserve">According to </w:t>
            </w:r>
            <w:r w:rsidR="0071771E" w:rsidRPr="00F40195">
              <w:t xml:space="preserve">correlational </w:t>
            </w:r>
            <w:r w:rsidRPr="00F40195">
              <w:t>analysis using a national data set of 8</w:t>
            </w:r>
            <w:r w:rsidRPr="00F40195">
              <w:rPr>
                <w:vertAlign w:val="superscript"/>
              </w:rPr>
              <w:t>th</w:t>
            </w:r>
            <w:r w:rsidRPr="00F40195">
              <w:t xml:space="preserve"> to 12</w:t>
            </w:r>
            <w:r w:rsidRPr="00F40195">
              <w:rPr>
                <w:vertAlign w:val="superscript"/>
              </w:rPr>
              <w:t>th</w:t>
            </w:r>
            <w:r w:rsidRPr="00F40195">
              <w:t xml:space="preserve"> graders (NELS</w:t>
            </w:r>
            <w:proofErr w:type="gramStart"/>
            <w:r w:rsidRPr="00F40195">
              <w:t>:88</w:t>
            </w:r>
            <w:proofErr w:type="gramEnd"/>
            <w:r w:rsidRPr="00F40195">
              <w:t xml:space="preserve">), students who were involved in the arts had greater academic gains than those who were not (Catterall, Chapleau &amp; Iwanaga, 1999). This impact held for low-income children. Students consistently involved in the arts had greater gains in mathematics achievement. Music students, in a study using the Louisiana state test results, produced higher mean mathematics scores (Baker, 2012). In the NELS:88 study, low-income students involved in theater arts had greater gains in reading, but also had greater self-concept, motivation, empathy, and tolerance. Furthermore, arts education is associated with advanced cognitive capacities that are often associated with career-ready skills, such as being an independent and organized thinker, having the capacity to test ideas, and persisting in tasks individually </w:t>
            </w:r>
            <w:r w:rsidR="006772B2" w:rsidRPr="00F40195">
              <w:t xml:space="preserve">and </w:t>
            </w:r>
            <w:r w:rsidRPr="00F40195">
              <w:t>as p</w:t>
            </w:r>
            <w:r w:rsidR="00C4415F" w:rsidRPr="00F40195">
              <w:t>art of a team (Burton, Horowitz</w:t>
            </w:r>
            <w:r w:rsidRPr="00F40195">
              <w:t xml:space="preserve"> &amp; Abeles, 1999). Cognitive psychologists suggest that arts integration can have a positive impact on knowledge retention, which positively influences motivation (Rinne, Gregory, Yarmolinskaya &amp; Hardiman, 2011).</w:t>
            </w:r>
          </w:p>
          <w:p w:rsidR="00EE0EAE" w:rsidRPr="00F40195" w:rsidRDefault="00EE0EAE" w:rsidP="00F40195"/>
          <w:p w:rsidR="0007263B" w:rsidRPr="00F40195" w:rsidRDefault="0007263B" w:rsidP="00F40195">
            <w:r w:rsidRPr="00F40195">
              <w:lastRenderedPageBreak/>
              <w:t>A review published by the Centers for Disease Control (CDC, 2012) found positive relationships between physical education and academic achievement. This review consisted of 50 studies of varying methodologies with no particular weight on methods.</w:t>
            </w:r>
          </w:p>
          <w:p w:rsidR="0007263B" w:rsidRPr="00F40195" w:rsidRDefault="0007263B" w:rsidP="00F40195"/>
          <w:p w:rsidR="006B6B73" w:rsidRPr="008224FD" w:rsidRDefault="00EE0EAE" w:rsidP="00F40195">
            <w:r w:rsidRPr="00F40195">
              <w:t>Arguments about the value of CTE tend to rely on the research examining the relationship between relevance (</w:t>
            </w:r>
            <w:proofErr w:type="gramStart"/>
            <w:r w:rsidRPr="00F40195">
              <w:t>or</w:t>
            </w:r>
            <w:proofErr w:type="gramEnd"/>
            <w:r w:rsidRPr="00F40195">
              <w:t xml:space="preserve"> authentic intellectual work) and academic achievement. The work of Woolley, Rose, Orthner, Akos, and Jones-Sanpei (2013) uses that relationship as the foundation for their 3-year study of career relevant (pre-occupational) instruction in the middle grades</w:t>
            </w:r>
            <w:r w:rsidR="00A125E8" w:rsidRPr="00F40195">
              <w:t>,</w:t>
            </w:r>
            <w:r w:rsidRPr="00F40195">
              <w:t xml:space="preserve"> where such instruction had a positive impact on mathematics performance but not on reading performance. At the high school level, while CTE concentrators tended to take fewer core science courses and score lower on the 12</w:t>
            </w:r>
            <w:r w:rsidRPr="00F40195">
              <w:rPr>
                <w:vertAlign w:val="superscript"/>
              </w:rPr>
              <w:t>th</w:t>
            </w:r>
            <w:r w:rsidRPr="00F40195">
              <w:t xml:space="preserve"> grade National Assessment of Educational Progress (NAEP), </w:t>
            </w:r>
            <w:r w:rsidR="00A125E8" w:rsidRPr="00F40195">
              <w:t>“</w:t>
            </w:r>
            <w:r w:rsidRPr="00F40195">
              <w:t xml:space="preserve">concentrators in agriculture, business finance, communications and design, computer and information science, and engineering technology </w:t>
            </w:r>
            <w:r w:rsidR="007619E2" w:rsidRPr="00F40195">
              <w:t>score</w:t>
            </w:r>
            <w:r w:rsidRPr="00F40195">
              <w:t>[ed] higher than or not measurably different from non</w:t>
            </w:r>
            <w:r w:rsidR="007619E2" w:rsidRPr="00F40195">
              <w:t>-</w:t>
            </w:r>
            <w:r w:rsidRPr="00F40195">
              <w:t>concentrators</w:t>
            </w:r>
            <w:r w:rsidR="00A125E8" w:rsidRPr="00F40195">
              <w:t>”</w:t>
            </w:r>
            <w:r w:rsidRPr="00F40195">
              <w:t xml:space="preserve"> (Levesque, Wun &amp; Green, 2010), which suggests the need to look more closely both at the students who choose these fields but also at the content of the concentrations as they may be c</w:t>
            </w:r>
            <w:r w:rsidR="008224FD">
              <w:t>ontributing to better outcomes.</w:t>
            </w:r>
          </w:p>
        </w:tc>
      </w:tr>
    </w:tbl>
    <w:p w:rsidR="006B6B73" w:rsidRPr="00F40195" w:rsidRDefault="006B6B73" w:rsidP="008D674A">
      <w:pPr>
        <w:pStyle w:val="Heading3"/>
      </w:pPr>
      <w:bookmarkStart w:id="94" w:name="_Toc395180684"/>
      <w:r w:rsidRPr="00F40195">
        <w:lastRenderedPageBreak/>
        <w:t>B.7 Instructional Coaches/Technology Coordinators</w:t>
      </w:r>
      <w:bookmarkEnd w:id="94"/>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D81689"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71771E" w:rsidRPr="00F40195" w:rsidRDefault="00E34670" w:rsidP="0066654C">
            <w:pPr>
              <w:rPr>
                <w:b/>
              </w:rPr>
            </w:pPr>
            <w:r w:rsidRPr="00F40195">
              <w:t xml:space="preserve">EB </w:t>
            </w:r>
            <w:r w:rsidR="003F1019" w:rsidRPr="00F40195">
              <w:t>provides one instructional coach position for every 200 students</w:t>
            </w:r>
            <w:r w:rsidR="009739FE" w:rsidRPr="00F40195">
              <w:t xml:space="preserve">. </w:t>
            </w:r>
            <w:r w:rsidR="00441150" w:rsidRPr="00F40195">
              <w:t>T</w:t>
            </w:r>
            <w:r w:rsidR="003F1019" w:rsidRPr="00F40195">
              <w:t xml:space="preserve">he EB model </w:t>
            </w:r>
            <w:r w:rsidRPr="00F40195">
              <w:t>does not specifically fund technology positions</w:t>
            </w:r>
            <w:r w:rsidR="00441150" w:rsidRPr="00F40195">
              <w:t>, however, s</w:t>
            </w:r>
            <w:r w:rsidRPr="00F40195">
              <w:t xml:space="preserve">chools and districts </w:t>
            </w:r>
            <w:r w:rsidR="00441150" w:rsidRPr="00F40195">
              <w:t>can</w:t>
            </w:r>
            <w:r w:rsidRPr="00F40195">
              <w:t xml:space="preserve"> use coaching </w:t>
            </w:r>
            <w:r w:rsidR="00145D85" w:rsidRPr="00F40195">
              <w:t xml:space="preserve">positions to </w:t>
            </w:r>
            <w:r w:rsidRPr="00F40195">
              <w:t>fulfill a technology role if needed</w:t>
            </w:r>
            <w:r w:rsidR="009739FE" w:rsidRPr="00F40195">
              <w:t xml:space="preserve">. </w:t>
            </w: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r w:rsidRPr="00F40195">
              <w:rPr>
                <w:b/>
              </w:rPr>
              <w:t>Advisory Committee Recommendation</w:t>
            </w:r>
          </w:p>
        </w:tc>
      </w:tr>
      <w:tr w:rsidR="00C85A07" w:rsidRPr="00F40195">
        <w:tc>
          <w:tcPr>
            <w:tcW w:w="4788" w:type="dxa"/>
          </w:tcPr>
          <w:p w:rsidR="00C85A07" w:rsidRPr="00F40195" w:rsidRDefault="006772B2" w:rsidP="00844962">
            <w:pPr>
              <w:pStyle w:val="Default"/>
            </w:pPr>
            <w:r w:rsidRPr="00F40195">
              <w:rPr>
                <w:rFonts w:eastAsiaTheme="minorHAnsi"/>
                <w:szCs w:val="22"/>
              </w:rPr>
              <w:t>Same as EB Model</w:t>
            </w:r>
            <w:r w:rsidR="00CC1F61" w:rsidRPr="00F40195">
              <w:rPr>
                <w:rFonts w:eastAsiaTheme="minorHAnsi"/>
                <w:szCs w:val="22"/>
              </w:rPr>
              <w:t>.</w:t>
            </w:r>
          </w:p>
        </w:tc>
        <w:tc>
          <w:tcPr>
            <w:tcW w:w="4788" w:type="dxa"/>
          </w:tcPr>
          <w:p w:rsidR="00C85A07" w:rsidRPr="00D73E7C" w:rsidRDefault="006772B2" w:rsidP="00D73E7C">
            <w:pPr>
              <w:pStyle w:val="Default"/>
              <w:rPr>
                <w:rFonts w:eastAsiaTheme="minorHAnsi"/>
                <w:szCs w:val="22"/>
              </w:rPr>
            </w:pPr>
            <w:r w:rsidRPr="00F40195">
              <w:rPr>
                <w:rFonts w:eastAsiaTheme="minorHAnsi"/>
                <w:szCs w:val="22"/>
              </w:rPr>
              <w:t>Same as EB Model</w:t>
            </w:r>
            <w:r w:rsidR="00CC1F61" w:rsidRPr="00F40195">
              <w:rPr>
                <w:rFonts w:eastAsiaTheme="minorHAnsi"/>
                <w:szCs w:val="22"/>
              </w:rPr>
              <w:t>.</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7018EA" w:rsidRPr="00F40195" w:rsidRDefault="007018EA" w:rsidP="00F40195">
            <w:r w:rsidRPr="00F40195">
              <w:t>Early research found strong effect sizes for coaches as part of professional development (Joyce &amp; Calhoun, 1996; Joyce &amp; Showers, 2002)</w:t>
            </w:r>
            <w:r w:rsidR="009739FE" w:rsidRPr="00F40195">
              <w:t xml:space="preserve">. </w:t>
            </w:r>
            <w:r w:rsidRPr="00F40195">
              <w:t>A 2010 evaluation of a Florida program that provided reading coaches for middle schools found positive impacts on student performance in reading (Lockwood, McCombs &amp; Marsh, 2010)</w:t>
            </w:r>
            <w:r w:rsidR="009739FE" w:rsidRPr="00F40195">
              <w:t xml:space="preserve">. </w:t>
            </w:r>
            <w:r w:rsidRPr="00F40195">
              <w:t>A related study found that coaches provided as part of a data-based decision making initiative also improved both teachers’ instructional practice and student achievement (Marsh, McCombs &amp; Martorell, 2010)</w:t>
            </w:r>
            <w:r w:rsidR="009739FE" w:rsidRPr="00F40195">
              <w:t xml:space="preserve">. </w:t>
            </w:r>
            <w:r w:rsidRPr="00F40195">
              <w:t>More importantly, a recent randomized control trial of coaching (Pianta, Allen &amp; King, 2011) found significant, positive impacts in the form of student achievement gains across four subject areas – mathematics, science, history</w:t>
            </w:r>
            <w:r w:rsidR="00E457F9" w:rsidRPr="00F40195">
              <w:t>,</w:t>
            </w:r>
            <w:r w:rsidRPr="00F40195">
              <w:t xml:space="preserve"> and language arts.</w:t>
            </w:r>
          </w:p>
          <w:p w:rsidR="007018EA" w:rsidRPr="00F40195" w:rsidRDefault="007018EA" w:rsidP="00F40195"/>
          <w:p w:rsidR="006B6B73" w:rsidRPr="008224FD" w:rsidRDefault="00145D85" w:rsidP="00F40195">
            <w:r w:rsidRPr="00F40195">
              <w:t>M</w:t>
            </w:r>
            <w:r w:rsidR="006B6B73" w:rsidRPr="00F40195">
              <w:rPr>
                <w:bCs/>
              </w:rPr>
              <w:t xml:space="preserve">ost comprehensive school designs (see Odden, 1997; </w:t>
            </w:r>
            <w:r w:rsidR="006B6B73" w:rsidRPr="00F40195">
              <w:t>Stringfield, Ross &amp; Smith, 1996)</w:t>
            </w:r>
            <w:r w:rsidR="006B6B73" w:rsidRPr="00F40195">
              <w:rPr>
                <w:bCs/>
              </w:rPr>
              <w:t>, and EB studies conducted in other states – Arizona, Arkansas, Kentucky, North Dakota</w:t>
            </w:r>
            <w:r w:rsidR="00441150" w:rsidRPr="00F40195">
              <w:rPr>
                <w:bCs/>
              </w:rPr>
              <w:t xml:space="preserve">, </w:t>
            </w:r>
            <w:r w:rsidR="004B3B1D" w:rsidRPr="00F40195">
              <w:rPr>
                <w:bCs/>
              </w:rPr>
              <w:t xml:space="preserve">Wyoming, </w:t>
            </w:r>
            <w:r w:rsidR="00441150" w:rsidRPr="00F40195">
              <w:rPr>
                <w:bCs/>
              </w:rPr>
              <w:t>Washington</w:t>
            </w:r>
            <w:r w:rsidR="006B6B73" w:rsidRPr="00F40195">
              <w:rPr>
                <w:bCs/>
              </w:rPr>
              <w:t xml:space="preserve"> and Wisconsin – call for </w:t>
            </w:r>
            <w:r w:rsidR="006B6B73" w:rsidRPr="00F40195">
              <w:t>school-based instructional facilitators or instructional coaches</w:t>
            </w:r>
            <w:r w:rsidR="006B6B73" w:rsidRPr="00F40195">
              <w:rPr>
                <w:bCs/>
              </w:rPr>
              <w:t xml:space="preserve"> (sometimes called mentors, site coaches, curriculum specialists, or lead teachers)</w:t>
            </w:r>
            <w:r w:rsidR="009739FE" w:rsidRPr="00F40195">
              <w:rPr>
                <w:bCs/>
              </w:rPr>
              <w:t xml:space="preserve">. </w:t>
            </w:r>
            <w:r w:rsidR="006B6B73" w:rsidRPr="00F40195">
              <w:rPr>
                <w:bCs/>
              </w:rPr>
              <w:t xml:space="preserve">These individuals coordinate the instructional program but most importantly provide the critical ongoing instructional coaching and mentoring that the professional development literature shows </w:t>
            </w:r>
            <w:r w:rsidR="006B6B73" w:rsidRPr="00F40195">
              <w:rPr>
                <w:bCs/>
              </w:rPr>
              <w:lastRenderedPageBreak/>
              <w:t>is necessary for teachers to improve their instructional practice (Garet, Porter, Desimone, Birman, &amp; Yoon, 2001;</w:t>
            </w:r>
            <w:r w:rsidR="006B6B73" w:rsidRPr="00F40195">
              <w:t xml:space="preserve"> Joyce &amp; Calhoun, 1996; </w:t>
            </w:r>
            <w:r w:rsidR="006B6B73" w:rsidRPr="00F40195">
              <w:rPr>
                <w:bCs/>
              </w:rPr>
              <w:t>Joyce &amp; Showers, 2002)</w:t>
            </w:r>
            <w:r w:rsidR="009739FE" w:rsidRPr="00F40195">
              <w:rPr>
                <w:bCs/>
              </w:rPr>
              <w:t xml:space="preserve">. </w:t>
            </w:r>
            <w:r w:rsidR="006B6B73" w:rsidRPr="00F40195">
              <w:rPr>
                <w:bCs/>
              </w:rPr>
              <w:t>This means that they spend the bulk of their time in classrooms, modeling lessons, giving feedback to teachers, and helping improve the instructional program</w:t>
            </w:r>
            <w:r w:rsidR="009739FE" w:rsidRPr="00F40195">
              <w:rPr>
                <w:bCs/>
              </w:rPr>
              <w:t xml:space="preserve">. </w:t>
            </w:r>
            <w:r w:rsidR="00B9037A" w:rsidRPr="00F40195">
              <w:rPr>
                <w:bCs/>
              </w:rPr>
              <w:t xml:space="preserve">Instructional coaches also work with collaborative teams helping them analyze student data and its implications for instruction and interventions.  </w:t>
            </w:r>
            <w:r w:rsidR="006B6B73" w:rsidRPr="00F40195">
              <w:rPr>
                <w:bCs/>
              </w:rPr>
              <w:t>We expand on the rationale for these individuals in the section on professional development</w:t>
            </w:r>
            <w:r w:rsidR="00E457F9" w:rsidRPr="00F40195">
              <w:rPr>
                <w:bCs/>
              </w:rPr>
              <w:t xml:space="preserve">, </w:t>
            </w:r>
            <w:r w:rsidR="006B6B73" w:rsidRPr="00F40195">
              <w:rPr>
                <w:bCs/>
              </w:rPr>
              <w:t>but include them here as they represent teacher positions</w:t>
            </w:r>
            <w:r w:rsidR="009739FE" w:rsidRPr="00F40195">
              <w:rPr>
                <w:bCs/>
              </w:rPr>
              <w:t xml:space="preserve">. </w:t>
            </w:r>
            <w:r w:rsidR="006B6B73" w:rsidRPr="00F40195">
              <w:rPr>
                <w:bCs/>
              </w:rPr>
              <w:t xml:space="preserve">The </w:t>
            </w:r>
            <w:r w:rsidR="00467F02" w:rsidRPr="00F40195">
              <w:rPr>
                <w:bCs/>
              </w:rPr>
              <w:t>few instructional coaches who also function as school technology coordinators</w:t>
            </w:r>
            <w:r w:rsidR="006B6B73" w:rsidRPr="00F40195">
              <w:rPr>
                <w:bCs/>
              </w:rPr>
              <w:t xml:space="preserve"> would provide the technological expertise to fix small problems with the computer system, install all software, connect computer equipment so it can be used for both instructional and management purposes, and provide professional development to embed computer technologies into the curriculum at the school site.</w:t>
            </w:r>
          </w:p>
        </w:tc>
      </w:tr>
    </w:tbl>
    <w:p w:rsidR="006B6B73" w:rsidRPr="00F40195" w:rsidRDefault="006B6B73" w:rsidP="00F40195">
      <w:pPr>
        <w:spacing w:line="240" w:lineRule="auto"/>
        <w:rPr>
          <w:rFonts w:cs="Times New Roman"/>
        </w:rPr>
      </w:pPr>
    </w:p>
    <w:p w:rsidR="00D73E7C" w:rsidRDefault="00D73E7C">
      <w:pPr>
        <w:rPr>
          <w:rFonts w:eastAsiaTheme="majorEastAsia" w:cs="Times New Roman"/>
          <w:b/>
          <w:bCs/>
          <w:caps/>
          <w:szCs w:val="24"/>
        </w:rPr>
      </w:pPr>
      <w:r>
        <w:br w:type="page"/>
      </w:r>
    </w:p>
    <w:p w:rsidR="006B6B73" w:rsidRPr="00F40195" w:rsidRDefault="006B6B73" w:rsidP="007162A8">
      <w:pPr>
        <w:pStyle w:val="Heading2"/>
      </w:pPr>
      <w:bookmarkStart w:id="95" w:name="_Toc395180685"/>
      <w:r w:rsidRPr="00F40195">
        <w:lastRenderedPageBreak/>
        <w:t>C. Staffing for Extra Student Needs</w:t>
      </w:r>
      <w:bookmarkEnd w:id="95"/>
    </w:p>
    <w:p w:rsidR="003F1019" w:rsidRPr="00F40195" w:rsidRDefault="006B6B73" w:rsidP="00F40195">
      <w:pPr>
        <w:spacing w:line="240" w:lineRule="auto"/>
        <w:rPr>
          <w:rFonts w:cs="Times New Roman"/>
          <w:szCs w:val="24"/>
        </w:rPr>
      </w:pPr>
      <w:r w:rsidRPr="00F40195">
        <w:rPr>
          <w:rFonts w:cs="Times New Roman"/>
          <w:szCs w:val="24"/>
        </w:rPr>
        <w:t xml:space="preserve">Because not all students will </w:t>
      </w:r>
      <w:r w:rsidR="003E5C44" w:rsidRPr="00F40195">
        <w:rPr>
          <w:rFonts w:cs="Times New Roman"/>
          <w:szCs w:val="24"/>
        </w:rPr>
        <w:t>meet</w:t>
      </w:r>
      <w:r w:rsidRPr="00F40195">
        <w:rPr>
          <w:rFonts w:cs="Times New Roman"/>
          <w:szCs w:val="24"/>
        </w:rPr>
        <w:t xml:space="preserve"> standards with just the core instructional program, districts and schools need a powerful sequence of additional and effective strategies for struggling students. The EB approach identifies a series of specific, </w:t>
      </w:r>
      <w:r w:rsidR="003E5C44" w:rsidRPr="00F40195">
        <w:rPr>
          <w:rFonts w:cs="Times New Roman"/>
          <w:szCs w:val="24"/>
        </w:rPr>
        <w:t>supplementary</w:t>
      </w:r>
      <w:r w:rsidRPr="00F40195">
        <w:rPr>
          <w:rFonts w:cs="Times New Roman"/>
          <w:szCs w:val="24"/>
        </w:rPr>
        <w:t xml:space="preserve"> programs for struggling students including:</w:t>
      </w:r>
    </w:p>
    <w:p w:rsidR="00B54881" w:rsidRPr="00F40195" w:rsidRDefault="00B54881" w:rsidP="00F40195">
      <w:pPr>
        <w:spacing w:line="240" w:lineRule="auto"/>
        <w:rPr>
          <w:rFonts w:cs="Times New Roman"/>
          <w:szCs w:val="24"/>
        </w:rPr>
      </w:pPr>
    </w:p>
    <w:p w:rsidR="006B6B73" w:rsidRPr="00F40195" w:rsidRDefault="006B6B73" w:rsidP="00F40195">
      <w:pPr>
        <w:pStyle w:val="ListParagraph"/>
        <w:numPr>
          <w:ilvl w:val="0"/>
          <w:numId w:val="2"/>
        </w:numPr>
        <w:spacing w:line="240" w:lineRule="auto"/>
        <w:rPr>
          <w:rFonts w:cs="Times New Roman"/>
          <w:szCs w:val="24"/>
        </w:rPr>
      </w:pPr>
      <w:r w:rsidRPr="00F40195">
        <w:rPr>
          <w:rFonts w:cs="Times New Roman"/>
          <w:szCs w:val="24"/>
        </w:rPr>
        <w:t>Tutoring to provide immediate, intensive assistance to keep struggling students on track</w:t>
      </w:r>
    </w:p>
    <w:p w:rsidR="006B6B73" w:rsidRPr="00F40195" w:rsidRDefault="006B6B73" w:rsidP="00F40195">
      <w:pPr>
        <w:pStyle w:val="ListParagraph"/>
        <w:numPr>
          <w:ilvl w:val="0"/>
          <w:numId w:val="2"/>
        </w:numPr>
        <w:spacing w:line="240" w:lineRule="auto"/>
        <w:rPr>
          <w:rFonts w:cs="Times New Roman"/>
          <w:szCs w:val="24"/>
        </w:rPr>
      </w:pPr>
      <w:r w:rsidRPr="00F40195">
        <w:rPr>
          <w:rFonts w:cs="Times New Roman"/>
          <w:szCs w:val="24"/>
        </w:rPr>
        <w:t>Extended day programs to provide more time on task for struggling students</w:t>
      </w:r>
    </w:p>
    <w:p w:rsidR="006B6B73" w:rsidRPr="00F40195" w:rsidRDefault="006B6B73" w:rsidP="00F40195">
      <w:pPr>
        <w:pStyle w:val="ListParagraph"/>
        <w:numPr>
          <w:ilvl w:val="0"/>
          <w:numId w:val="2"/>
        </w:numPr>
        <w:spacing w:line="240" w:lineRule="auto"/>
        <w:rPr>
          <w:rFonts w:cs="Times New Roman"/>
          <w:szCs w:val="24"/>
        </w:rPr>
      </w:pPr>
      <w:r w:rsidRPr="00F40195">
        <w:rPr>
          <w:rFonts w:cs="Times New Roman"/>
          <w:szCs w:val="24"/>
        </w:rPr>
        <w:t>Summer school to provide more instructional time for struggling students</w:t>
      </w:r>
    </w:p>
    <w:p w:rsidR="006B6B73" w:rsidRPr="00F40195" w:rsidRDefault="006B6B73" w:rsidP="00F40195">
      <w:pPr>
        <w:pStyle w:val="ListParagraph"/>
        <w:numPr>
          <w:ilvl w:val="0"/>
          <w:numId w:val="2"/>
        </w:numPr>
        <w:spacing w:line="240" w:lineRule="auto"/>
        <w:rPr>
          <w:rFonts w:cs="Times New Roman"/>
          <w:szCs w:val="24"/>
        </w:rPr>
      </w:pPr>
      <w:r w:rsidRPr="00F40195">
        <w:rPr>
          <w:rFonts w:cs="Times New Roman"/>
          <w:szCs w:val="24"/>
        </w:rPr>
        <w:t xml:space="preserve">Sheltered English and ESL instruction for </w:t>
      </w:r>
      <w:r w:rsidR="006772B2" w:rsidRPr="00F40195">
        <w:rPr>
          <w:rFonts w:cs="Times New Roman"/>
          <w:szCs w:val="24"/>
        </w:rPr>
        <w:t xml:space="preserve">Learners </w:t>
      </w:r>
      <w:r w:rsidRPr="00F40195">
        <w:rPr>
          <w:rFonts w:cs="Times New Roman"/>
          <w:szCs w:val="24"/>
        </w:rPr>
        <w:t>(</w:t>
      </w:r>
      <w:r w:rsidR="006772B2" w:rsidRPr="00F40195">
        <w:rPr>
          <w:rFonts w:cs="Times New Roman"/>
          <w:szCs w:val="24"/>
        </w:rPr>
        <w:t>ELs</w:t>
      </w:r>
      <w:r w:rsidRPr="00F40195">
        <w:rPr>
          <w:rFonts w:cs="Times New Roman"/>
          <w:szCs w:val="24"/>
        </w:rPr>
        <w:t>) students</w:t>
      </w:r>
    </w:p>
    <w:p w:rsidR="006B6B73" w:rsidRPr="00F40195" w:rsidRDefault="006B6B73" w:rsidP="00F40195">
      <w:pPr>
        <w:pStyle w:val="ListParagraph"/>
        <w:numPr>
          <w:ilvl w:val="0"/>
          <w:numId w:val="2"/>
        </w:numPr>
        <w:spacing w:line="240" w:lineRule="auto"/>
        <w:rPr>
          <w:rFonts w:cs="Times New Roman"/>
          <w:szCs w:val="24"/>
        </w:rPr>
      </w:pPr>
      <w:r w:rsidRPr="00F40195">
        <w:rPr>
          <w:rFonts w:cs="Times New Roman"/>
          <w:szCs w:val="24"/>
        </w:rPr>
        <w:t xml:space="preserve">A </w:t>
      </w:r>
      <w:r w:rsidR="00872844">
        <w:rPr>
          <w:rFonts w:cs="Times New Roman"/>
          <w:szCs w:val="24"/>
        </w:rPr>
        <w:t>“census”</w:t>
      </w:r>
      <w:r w:rsidR="00872844" w:rsidRPr="00F40195">
        <w:rPr>
          <w:rFonts w:cs="Times New Roman"/>
          <w:szCs w:val="24"/>
        </w:rPr>
        <w:t xml:space="preserve"> </w:t>
      </w:r>
      <w:r w:rsidRPr="00F40195">
        <w:rPr>
          <w:rFonts w:cs="Times New Roman"/>
          <w:szCs w:val="24"/>
        </w:rPr>
        <w:t>approach to funding special education</w:t>
      </w:r>
    </w:p>
    <w:p w:rsidR="00B54881" w:rsidRPr="00F40195" w:rsidRDefault="00B54881" w:rsidP="00F40195">
      <w:pPr>
        <w:spacing w:line="240" w:lineRule="auto"/>
        <w:rPr>
          <w:rFonts w:cs="Times New Roman"/>
          <w:szCs w:val="24"/>
        </w:rPr>
      </w:pPr>
    </w:p>
    <w:p w:rsidR="006B6B73" w:rsidRPr="00F40195" w:rsidRDefault="006B6B73" w:rsidP="00F40195">
      <w:pPr>
        <w:spacing w:line="240" w:lineRule="auto"/>
        <w:rPr>
          <w:rFonts w:cs="Times New Roman"/>
          <w:szCs w:val="24"/>
        </w:rPr>
      </w:pPr>
      <w:r w:rsidRPr="00F40195">
        <w:rPr>
          <w:rFonts w:cs="Times New Roman"/>
          <w:szCs w:val="24"/>
        </w:rPr>
        <w:t>These programs all extend the learning time for struggling students in focused ways</w:t>
      </w:r>
      <w:r w:rsidR="009739FE" w:rsidRPr="00F40195">
        <w:rPr>
          <w:rFonts w:cs="Times New Roman"/>
          <w:szCs w:val="24"/>
        </w:rPr>
        <w:t xml:space="preserve">. </w:t>
      </w:r>
      <w:r w:rsidRPr="00F40195">
        <w:rPr>
          <w:rFonts w:cs="Times New Roman"/>
          <w:szCs w:val="24"/>
        </w:rPr>
        <w:t xml:space="preserve">The key concept is to implement the maxim of standards-based education reform: </w:t>
      </w:r>
      <w:r w:rsidR="00E457F9" w:rsidRPr="00F40195">
        <w:rPr>
          <w:rFonts w:cs="Times New Roman"/>
          <w:szCs w:val="24"/>
        </w:rPr>
        <w:t xml:space="preserve"> </w:t>
      </w:r>
      <w:r w:rsidRPr="00F40195">
        <w:rPr>
          <w:rFonts w:cs="Times New Roman"/>
          <w:szCs w:val="24"/>
        </w:rPr>
        <w:t>keep standards high</w:t>
      </w:r>
      <w:r w:rsidR="00E457F9" w:rsidRPr="00F40195">
        <w:rPr>
          <w:rFonts w:cs="Times New Roman"/>
          <w:szCs w:val="24"/>
        </w:rPr>
        <w:t>,</w:t>
      </w:r>
      <w:r w:rsidRPr="00F40195">
        <w:rPr>
          <w:rFonts w:cs="Times New Roman"/>
          <w:szCs w:val="24"/>
        </w:rPr>
        <w:t xml:space="preserve"> but vary the instructional time so students can </w:t>
      </w:r>
      <w:r w:rsidR="003E5C44" w:rsidRPr="00F40195">
        <w:rPr>
          <w:rFonts w:cs="Times New Roman"/>
          <w:szCs w:val="24"/>
        </w:rPr>
        <w:t>become proficient</w:t>
      </w:r>
      <w:r w:rsidRPr="00F40195">
        <w:rPr>
          <w:rFonts w:cs="Times New Roman"/>
          <w:szCs w:val="24"/>
        </w:rPr>
        <w:t>.</w:t>
      </w:r>
    </w:p>
    <w:p w:rsidR="00D84EB6" w:rsidRPr="00F40195" w:rsidRDefault="00D84EB6" w:rsidP="00F40195">
      <w:pPr>
        <w:spacing w:line="240" w:lineRule="auto"/>
        <w:rPr>
          <w:rFonts w:cs="Times New Roman"/>
          <w:szCs w:val="24"/>
        </w:rPr>
      </w:pPr>
    </w:p>
    <w:p w:rsidR="006B6B73" w:rsidRPr="00F40195" w:rsidRDefault="006B6B73" w:rsidP="00F40195">
      <w:pPr>
        <w:spacing w:line="240" w:lineRule="auto"/>
        <w:rPr>
          <w:rFonts w:cs="Times New Roman"/>
          <w:szCs w:val="24"/>
        </w:rPr>
      </w:pPr>
      <w:r w:rsidRPr="00F40195">
        <w:rPr>
          <w:rFonts w:cs="Times New Roman"/>
          <w:szCs w:val="24"/>
        </w:rPr>
        <w:t xml:space="preserve">The EB elements for extra help are also embedded in the “response to intervention” </w:t>
      </w:r>
      <w:r w:rsidR="00EE0EAE" w:rsidRPr="00F40195">
        <w:rPr>
          <w:rFonts w:cs="Times New Roman"/>
          <w:szCs w:val="24"/>
        </w:rPr>
        <w:t xml:space="preserve">(Fuchs, D &amp; Fuchs, L.S., 2006) </w:t>
      </w:r>
      <w:r w:rsidRPr="00F40195">
        <w:rPr>
          <w:rFonts w:cs="Times New Roman"/>
          <w:szCs w:val="24"/>
        </w:rPr>
        <w:t>schema</w:t>
      </w:r>
      <w:r w:rsidR="00B54881" w:rsidRPr="00F40195">
        <w:rPr>
          <w:rFonts w:cs="Times New Roman"/>
          <w:szCs w:val="24"/>
        </w:rPr>
        <w:t>:</w:t>
      </w:r>
      <w:r w:rsidRPr="00F40195">
        <w:rPr>
          <w:rFonts w:cs="Times New Roman"/>
          <w:szCs w:val="24"/>
        </w:rPr>
        <w:t xml:space="preserve">  </w:t>
      </w:r>
    </w:p>
    <w:p w:rsidR="00B54881" w:rsidRPr="00F40195" w:rsidRDefault="00B54881" w:rsidP="00F40195">
      <w:pPr>
        <w:spacing w:line="240" w:lineRule="auto"/>
        <w:rPr>
          <w:rFonts w:cs="Times New Roman"/>
          <w:szCs w:val="24"/>
        </w:rPr>
      </w:pPr>
    </w:p>
    <w:p w:rsidR="006B6B73" w:rsidRPr="00F40195" w:rsidRDefault="006B6B73" w:rsidP="00F40195">
      <w:pPr>
        <w:pStyle w:val="ListParagraph"/>
        <w:numPr>
          <w:ilvl w:val="0"/>
          <w:numId w:val="14"/>
        </w:numPr>
        <w:spacing w:line="240" w:lineRule="auto"/>
        <w:rPr>
          <w:rFonts w:cs="Times New Roman"/>
          <w:color w:val="FF0000"/>
          <w:szCs w:val="24"/>
        </w:rPr>
      </w:pPr>
      <w:r w:rsidRPr="00F40195">
        <w:rPr>
          <w:rFonts w:cs="Times New Roman"/>
          <w:szCs w:val="24"/>
        </w:rPr>
        <w:t>Tier 1 includes the regular instruction provided to all students</w:t>
      </w:r>
      <w:r w:rsidR="009739FE" w:rsidRPr="00F40195">
        <w:rPr>
          <w:rFonts w:cs="Times New Roman"/>
          <w:szCs w:val="24"/>
        </w:rPr>
        <w:t xml:space="preserve">. </w:t>
      </w:r>
      <w:r w:rsidR="00145D85" w:rsidRPr="00F40195">
        <w:rPr>
          <w:rFonts w:cs="Times New Roman"/>
          <w:szCs w:val="24"/>
        </w:rPr>
        <w:t>Th</w:t>
      </w:r>
      <w:r w:rsidRPr="00F40195">
        <w:rPr>
          <w:rFonts w:cs="Times New Roman"/>
          <w:szCs w:val="24"/>
        </w:rPr>
        <w:t>e proposals for class size, time for collaborative work during regular school hours and ongoing, systemic professional development are designed to make core instruction as effective as possible.</w:t>
      </w:r>
    </w:p>
    <w:p w:rsidR="006B6B73" w:rsidRPr="00F40195" w:rsidRDefault="006B6B73" w:rsidP="00F40195">
      <w:pPr>
        <w:pStyle w:val="ListParagraph"/>
        <w:numPr>
          <w:ilvl w:val="0"/>
          <w:numId w:val="14"/>
        </w:numPr>
        <w:spacing w:line="240" w:lineRule="auto"/>
        <w:rPr>
          <w:rFonts w:cs="Times New Roman"/>
          <w:color w:val="FF0000"/>
          <w:szCs w:val="24"/>
        </w:rPr>
      </w:pPr>
      <w:r w:rsidRPr="00F40195">
        <w:rPr>
          <w:rFonts w:cs="Times New Roman"/>
          <w:szCs w:val="24"/>
        </w:rPr>
        <w:t>Tier 2 includes the staffing for tutoring</w:t>
      </w:r>
      <w:r w:rsidR="00B9037A" w:rsidRPr="00F40195">
        <w:rPr>
          <w:rFonts w:cs="Times New Roman"/>
          <w:szCs w:val="24"/>
        </w:rPr>
        <w:t xml:space="preserve"> and other interventions during the regular school day</w:t>
      </w:r>
      <w:r w:rsidRPr="00F40195">
        <w:rPr>
          <w:rFonts w:cs="Times New Roman"/>
          <w:szCs w:val="24"/>
        </w:rPr>
        <w:t>, extended day and summer school, with the tutoring staff covering nearly all possible small group Tier 2 intervention programs.</w:t>
      </w:r>
    </w:p>
    <w:p w:rsidR="006B6B73" w:rsidRPr="00F40195" w:rsidRDefault="006B6B73" w:rsidP="00F40195">
      <w:pPr>
        <w:pStyle w:val="ListParagraph"/>
        <w:numPr>
          <w:ilvl w:val="0"/>
          <w:numId w:val="14"/>
        </w:numPr>
        <w:spacing w:line="240" w:lineRule="auto"/>
        <w:rPr>
          <w:rFonts w:cs="Times New Roman"/>
          <w:color w:val="FF0000"/>
          <w:szCs w:val="24"/>
        </w:rPr>
      </w:pPr>
      <w:r w:rsidRPr="00F40195">
        <w:rPr>
          <w:rFonts w:cs="Times New Roman"/>
          <w:szCs w:val="24"/>
        </w:rPr>
        <w:t xml:space="preserve">Tier 3 includes </w:t>
      </w:r>
      <w:r w:rsidR="00723852" w:rsidRPr="00F40195">
        <w:rPr>
          <w:rFonts w:cs="Times New Roman"/>
          <w:szCs w:val="24"/>
        </w:rPr>
        <w:t>EL</w:t>
      </w:r>
      <w:r w:rsidRPr="00F40195">
        <w:rPr>
          <w:rFonts w:cs="Times New Roman"/>
          <w:szCs w:val="24"/>
        </w:rPr>
        <w:t xml:space="preserve"> and special education which provides the more intensive extra help services for these special populations.</w:t>
      </w:r>
    </w:p>
    <w:p w:rsidR="00550AAA" w:rsidRPr="00F40195" w:rsidRDefault="00550AAA" w:rsidP="00F40195">
      <w:pPr>
        <w:spacing w:line="240" w:lineRule="auto"/>
        <w:rPr>
          <w:rFonts w:cs="Times New Roman"/>
          <w:szCs w:val="24"/>
        </w:rPr>
      </w:pPr>
    </w:p>
    <w:p w:rsidR="00550AAA" w:rsidRPr="00F40195" w:rsidRDefault="00550AAA" w:rsidP="00F40195">
      <w:pPr>
        <w:spacing w:line="240" w:lineRule="auto"/>
        <w:contextualSpacing/>
        <w:rPr>
          <w:rFonts w:cs="Times New Roman"/>
          <w:szCs w:val="24"/>
        </w:rPr>
      </w:pPr>
      <w:r w:rsidRPr="00F40195">
        <w:rPr>
          <w:rFonts w:cs="Times New Roman"/>
          <w:szCs w:val="24"/>
        </w:rPr>
        <w:t xml:space="preserve">Kentucky uses Free Priced Lunch counts (as opposed to </w:t>
      </w:r>
      <w:proofErr w:type="gramStart"/>
      <w:r w:rsidRPr="00F40195">
        <w:rPr>
          <w:rFonts w:cs="Times New Roman"/>
          <w:szCs w:val="24"/>
        </w:rPr>
        <w:t>Free</w:t>
      </w:r>
      <w:proofErr w:type="gramEnd"/>
      <w:r w:rsidRPr="00F40195">
        <w:rPr>
          <w:rFonts w:cs="Times New Roman"/>
          <w:szCs w:val="24"/>
        </w:rPr>
        <w:t xml:space="preserve"> </w:t>
      </w:r>
      <w:r w:rsidRPr="00F40195">
        <w:rPr>
          <w:rFonts w:cs="Times New Roman"/>
          <w:i/>
          <w:szCs w:val="24"/>
        </w:rPr>
        <w:t>and Reduced</w:t>
      </w:r>
      <w:r w:rsidRPr="00F40195">
        <w:rPr>
          <w:rFonts w:cs="Times New Roman"/>
          <w:szCs w:val="24"/>
        </w:rPr>
        <w:t xml:space="preserve"> Priced Lunch counts) when determining targeted aid. At risk aid </w:t>
      </w:r>
      <w:r w:rsidR="00E457F9" w:rsidRPr="00F40195">
        <w:rPr>
          <w:rFonts w:cs="Times New Roman"/>
          <w:szCs w:val="24"/>
        </w:rPr>
        <w:t xml:space="preserve">is </w:t>
      </w:r>
      <w:r w:rsidRPr="00F40195">
        <w:rPr>
          <w:rFonts w:cs="Times New Roman"/>
          <w:szCs w:val="24"/>
        </w:rPr>
        <w:t xml:space="preserve">applied as a </w:t>
      </w:r>
      <w:r w:rsidR="00AF3700" w:rsidRPr="00F40195">
        <w:rPr>
          <w:rFonts w:cs="Times New Roman"/>
          <w:szCs w:val="24"/>
        </w:rPr>
        <w:t>0</w:t>
      </w:r>
      <w:r w:rsidRPr="00F40195">
        <w:rPr>
          <w:rFonts w:cs="Times New Roman"/>
          <w:szCs w:val="24"/>
        </w:rPr>
        <w:t>.15 weight over the SEEK guaranteed base.</w:t>
      </w:r>
      <w:r w:rsidR="002B413E" w:rsidRPr="00F40195">
        <w:rPr>
          <w:rFonts w:cs="Times New Roman"/>
          <w:szCs w:val="24"/>
        </w:rPr>
        <w:t xml:space="preserve"> </w:t>
      </w:r>
      <w:r w:rsidR="002B413E" w:rsidRPr="00F40195">
        <w:rPr>
          <w:rFonts w:cs="Times New Roman"/>
        </w:rPr>
        <w:t xml:space="preserve">This weight is the same for every district in the current system, and </w:t>
      </w:r>
      <w:r w:rsidR="00E10AEC" w:rsidRPr="00F40195">
        <w:rPr>
          <w:rFonts w:cs="Times New Roman"/>
        </w:rPr>
        <w:t xml:space="preserve">the value of the weight </w:t>
      </w:r>
      <w:r w:rsidR="002B413E" w:rsidRPr="00F40195">
        <w:rPr>
          <w:rFonts w:cs="Times New Roman"/>
        </w:rPr>
        <w:t xml:space="preserve">does not vary </w:t>
      </w:r>
      <w:r w:rsidR="00E10AEC" w:rsidRPr="00F40195">
        <w:rPr>
          <w:rFonts w:cs="Times New Roman"/>
        </w:rPr>
        <w:t>school by school or district by district.</w:t>
      </w:r>
    </w:p>
    <w:p w:rsidR="00CD235B" w:rsidRPr="00F40195" w:rsidRDefault="00CD235B" w:rsidP="00F40195">
      <w:pPr>
        <w:spacing w:line="240" w:lineRule="auto"/>
        <w:contextualSpacing/>
        <w:rPr>
          <w:rFonts w:cs="Times New Roman"/>
        </w:rPr>
      </w:pPr>
    </w:p>
    <w:p w:rsidR="00550AAA" w:rsidRPr="00F40195" w:rsidRDefault="006B6B73" w:rsidP="00F40195">
      <w:pPr>
        <w:spacing w:line="240" w:lineRule="auto"/>
        <w:contextualSpacing/>
        <w:rPr>
          <w:rFonts w:cs="Times New Roman"/>
          <w:szCs w:val="24"/>
        </w:rPr>
      </w:pPr>
      <w:r w:rsidRPr="00F40195">
        <w:rPr>
          <w:rFonts w:cs="Times New Roman"/>
          <w:szCs w:val="24"/>
        </w:rPr>
        <w:t xml:space="preserve">For tutors, extended day and summer school, the EB model uses the number of </w:t>
      </w:r>
      <w:r w:rsidR="00E10AEC" w:rsidRPr="00F40195">
        <w:rPr>
          <w:rFonts w:cs="Times New Roman"/>
          <w:szCs w:val="24"/>
        </w:rPr>
        <w:t xml:space="preserve">low-income </w:t>
      </w:r>
      <w:r w:rsidRPr="00F40195">
        <w:rPr>
          <w:rFonts w:cs="Times New Roman"/>
          <w:szCs w:val="24"/>
        </w:rPr>
        <w:t>student</w:t>
      </w:r>
      <w:r w:rsidR="00550AAA" w:rsidRPr="00F40195">
        <w:rPr>
          <w:rFonts w:cs="Times New Roman"/>
          <w:szCs w:val="24"/>
        </w:rPr>
        <w:t xml:space="preserve">s </w:t>
      </w:r>
      <w:r w:rsidR="00E10AEC" w:rsidRPr="00F40195">
        <w:rPr>
          <w:rFonts w:cs="Times New Roman"/>
          <w:szCs w:val="24"/>
        </w:rPr>
        <w:t>as a proxy for the</w:t>
      </w:r>
      <w:r w:rsidRPr="00F40195">
        <w:rPr>
          <w:rFonts w:cs="Times New Roman"/>
          <w:szCs w:val="24"/>
        </w:rPr>
        <w:t xml:space="preserve"> number of students who need extra help to achieve to standards in each school</w:t>
      </w:r>
      <w:r w:rsidR="00E10AEC" w:rsidRPr="00F40195">
        <w:rPr>
          <w:rFonts w:cs="Times New Roman"/>
          <w:szCs w:val="24"/>
        </w:rPr>
        <w:t xml:space="preserve">. This proxy is used </w:t>
      </w:r>
      <w:r w:rsidR="003E5C44" w:rsidRPr="00F40195">
        <w:rPr>
          <w:rFonts w:cs="Times New Roman"/>
          <w:szCs w:val="24"/>
        </w:rPr>
        <w:t xml:space="preserve">because of the persistent correlation between poverty and low achievement </w:t>
      </w:r>
      <w:r w:rsidR="00F232BE" w:rsidRPr="00F40195">
        <w:rPr>
          <w:rFonts w:cs="Times New Roman"/>
          <w:szCs w:val="24"/>
        </w:rPr>
        <w:t>(</w:t>
      </w:r>
      <w:r w:rsidR="006449F5" w:rsidRPr="00F40195">
        <w:rPr>
          <w:rFonts w:cs="Times New Roman"/>
          <w:szCs w:val="24"/>
        </w:rPr>
        <w:t>Gamoran, A</w:t>
      </w:r>
      <w:r w:rsidR="00723852" w:rsidRPr="00F40195">
        <w:rPr>
          <w:rFonts w:cs="Times New Roman"/>
          <w:szCs w:val="24"/>
        </w:rPr>
        <w:t xml:space="preserve">. </w:t>
      </w:r>
      <w:r w:rsidR="006449F5" w:rsidRPr="00F40195">
        <w:rPr>
          <w:rFonts w:cs="Times New Roman"/>
          <w:szCs w:val="24"/>
        </w:rPr>
        <w:t>&amp; Long, D.</w:t>
      </w:r>
      <w:r w:rsidR="008F7F54" w:rsidRPr="00F40195">
        <w:rPr>
          <w:rFonts w:cs="Times New Roman"/>
          <w:szCs w:val="24"/>
        </w:rPr>
        <w:t>A.</w:t>
      </w:r>
      <w:r w:rsidR="006449F5" w:rsidRPr="00F40195">
        <w:rPr>
          <w:rFonts w:cs="Times New Roman"/>
          <w:szCs w:val="24"/>
        </w:rPr>
        <w:t>, 2006</w:t>
      </w:r>
      <w:r w:rsidR="00F232BE" w:rsidRPr="00F40195">
        <w:rPr>
          <w:rFonts w:cs="Times New Roman"/>
          <w:szCs w:val="24"/>
        </w:rPr>
        <w:t>).</w:t>
      </w:r>
      <w:r w:rsidRPr="00F40195">
        <w:rPr>
          <w:rFonts w:cs="Times New Roman"/>
          <w:szCs w:val="24"/>
        </w:rPr>
        <w:t xml:space="preserve"> </w:t>
      </w:r>
      <w:r w:rsidR="00550AAA" w:rsidRPr="00F40195">
        <w:rPr>
          <w:rFonts w:cs="Times New Roman"/>
          <w:szCs w:val="24"/>
        </w:rPr>
        <w:t xml:space="preserve">The EB approach supports a move toward using full Free </w:t>
      </w:r>
      <w:r w:rsidR="00550AAA" w:rsidRPr="00F40195">
        <w:rPr>
          <w:rFonts w:cs="Times New Roman"/>
          <w:i/>
          <w:szCs w:val="24"/>
        </w:rPr>
        <w:t>and Reduced</w:t>
      </w:r>
      <w:r w:rsidR="00550AAA" w:rsidRPr="00F40195">
        <w:rPr>
          <w:rFonts w:cs="Times New Roman"/>
          <w:szCs w:val="24"/>
        </w:rPr>
        <w:t xml:space="preserve"> Priced Lunch counts in its targeted aid.</w:t>
      </w:r>
      <w:r w:rsidR="00CD235B" w:rsidRPr="00F40195">
        <w:rPr>
          <w:rFonts w:cs="Times New Roman"/>
        </w:rPr>
        <w:t xml:space="preserve"> </w:t>
      </w:r>
    </w:p>
    <w:p w:rsidR="00D73E7C" w:rsidRDefault="00D73E7C">
      <w:pPr>
        <w:rPr>
          <w:rFonts w:eastAsiaTheme="majorEastAsia" w:cs="Times New Roman"/>
          <w:b/>
          <w:bCs/>
          <w:szCs w:val="24"/>
        </w:rPr>
      </w:pPr>
      <w:r>
        <w:br w:type="page"/>
      </w:r>
    </w:p>
    <w:p w:rsidR="006B6B73" w:rsidRPr="00F40195" w:rsidRDefault="006B6B73" w:rsidP="008D674A">
      <w:pPr>
        <w:pStyle w:val="Heading3"/>
      </w:pPr>
      <w:bookmarkStart w:id="96" w:name="_Toc395180686"/>
      <w:r w:rsidRPr="00F40195">
        <w:lastRenderedPageBreak/>
        <w:t>C.8 Tutoring</w:t>
      </w:r>
      <w:bookmarkEnd w:id="96"/>
      <w:r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E127DB" w:rsidRPr="00F40195" w:rsidRDefault="00E127DB" w:rsidP="00F40195">
            <w:pPr>
              <w:rPr>
                <w:b/>
              </w:rPr>
            </w:pPr>
            <w:r w:rsidRPr="00F40195">
              <w:rPr>
                <w:rFonts w:eastAsiaTheme="minorHAnsi"/>
                <w:szCs w:val="22"/>
              </w:rPr>
              <w:t xml:space="preserve">Kentucky uses Free Priced Lunch </w:t>
            </w:r>
            <w:r w:rsidR="001368C5" w:rsidRPr="00F40195">
              <w:rPr>
                <w:rFonts w:eastAsiaTheme="minorHAnsi"/>
                <w:szCs w:val="22"/>
              </w:rPr>
              <w:t xml:space="preserve">enrollment </w:t>
            </w:r>
            <w:r w:rsidRPr="00F40195">
              <w:rPr>
                <w:rFonts w:eastAsiaTheme="minorHAnsi"/>
                <w:szCs w:val="22"/>
              </w:rPr>
              <w:t xml:space="preserve">counts (as opposed to Free </w:t>
            </w:r>
            <w:r w:rsidRPr="00F40195">
              <w:rPr>
                <w:rFonts w:eastAsiaTheme="minorHAnsi"/>
                <w:i/>
                <w:szCs w:val="22"/>
              </w:rPr>
              <w:t>and Reduced</w:t>
            </w:r>
            <w:r w:rsidRPr="00F40195">
              <w:rPr>
                <w:rFonts w:eastAsiaTheme="minorHAnsi"/>
                <w:szCs w:val="22"/>
              </w:rPr>
              <w:t xml:space="preserve"> Priced Lunch counts) when determining targeted aid. At risk aid applied as a .15 weight against the SEEK guaranteed base.</w:t>
            </w:r>
            <w:r w:rsidR="00646B72" w:rsidRPr="00F40195">
              <w:rPr>
                <w:rFonts w:eastAsiaTheme="minorHAnsi"/>
                <w:szCs w:val="22"/>
              </w:rPr>
              <w:t xml:space="preserve"> The Division of Nutrition and Health Services supplies this information </w:t>
            </w:r>
            <w:r w:rsidR="003D739E" w:rsidRPr="00F40195">
              <w:rPr>
                <w:rFonts w:eastAsiaTheme="minorHAnsi"/>
                <w:szCs w:val="22"/>
              </w:rPr>
              <w:t>to the DOE</w:t>
            </w:r>
            <w:r w:rsidR="00E10AEC" w:rsidRPr="00F40195">
              <w:rPr>
                <w:rFonts w:eastAsiaTheme="minorHAnsi"/>
                <w:szCs w:val="22"/>
              </w:rPr>
              <w:t xml:space="preserve">. The SEEK formula does not </w:t>
            </w:r>
            <w:r w:rsidR="00491B6A" w:rsidRPr="00F40195">
              <w:rPr>
                <w:rFonts w:eastAsiaTheme="minorHAnsi"/>
                <w:szCs w:val="22"/>
              </w:rPr>
              <w:t>s</w:t>
            </w:r>
            <w:r w:rsidR="003D739E" w:rsidRPr="00F40195">
              <w:rPr>
                <w:rFonts w:eastAsiaTheme="minorHAnsi"/>
                <w:szCs w:val="22"/>
              </w:rPr>
              <w:t>tipulat</w:t>
            </w:r>
            <w:r w:rsidR="00E10AEC" w:rsidRPr="00F40195">
              <w:rPr>
                <w:rFonts w:eastAsiaTheme="minorHAnsi"/>
                <w:szCs w:val="22"/>
              </w:rPr>
              <w:t>e</w:t>
            </w:r>
            <w:r w:rsidR="003D739E" w:rsidRPr="00F40195">
              <w:rPr>
                <w:rFonts w:eastAsiaTheme="minorHAnsi"/>
                <w:szCs w:val="22"/>
              </w:rPr>
              <w:t xml:space="preserve"> </w:t>
            </w:r>
            <w:r w:rsidR="00B54881" w:rsidRPr="00F40195">
              <w:rPr>
                <w:rFonts w:eastAsiaTheme="minorHAnsi"/>
                <w:szCs w:val="22"/>
              </w:rPr>
              <w:t xml:space="preserve">how </w:t>
            </w:r>
            <w:r w:rsidR="003D739E" w:rsidRPr="00F40195">
              <w:rPr>
                <w:rFonts w:eastAsiaTheme="minorHAnsi"/>
                <w:szCs w:val="22"/>
              </w:rPr>
              <w:t>fund</w:t>
            </w:r>
            <w:r w:rsidR="00B54881" w:rsidRPr="00F40195">
              <w:rPr>
                <w:rFonts w:eastAsiaTheme="minorHAnsi"/>
                <w:szCs w:val="22"/>
              </w:rPr>
              <w:t>s are</w:t>
            </w:r>
            <w:r w:rsidR="003D739E" w:rsidRPr="00F40195">
              <w:rPr>
                <w:rFonts w:eastAsiaTheme="minorHAnsi"/>
                <w:szCs w:val="22"/>
              </w:rPr>
              <w:t xml:space="preserve"> use</w:t>
            </w:r>
            <w:r w:rsidR="00B54881" w:rsidRPr="00F40195">
              <w:rPr>
                <w:rFonts w:eastAsiaTheme="minorHAnsi"/>
                <w:szCs w:val="22"/>
              </w:rPr>
              <w:t>d</w:t>
            </w:r>
            <w:r w:rsidR="003D739E" w:rsidRPr="00F40195">
              <w:rPr>
                <w:rFonts w:eastAsiaTheme="minorHAnsi"/>
                <w:szCs w:val="22"/>
              </w:rPr>
              <w:t>.</w:t>
            </w:r>
          </w:p>
        </w:tc>
        <w:tc>
          <w:tcPr>
            <w:tcW w:w="4788" w:type="dxa"/>
          </w:tcPr>
          <w:p w:rsidR="00A27F6B" w:rsidRPr="00F40195" w:rsidRDefault="00A27F6B" w:rsidP="00F40195">
            <w:r w:rsidRPr="00F40195">
              <w:t xml:space="preserve">One (1.0) </w:t>
            </w:r>
            <w:r w:rsidRPr="00F40195">
              <w:rPr>
                <w:szCs w:val="24"/>
              </w:rPr>
              <w:t xml:space="preserve">fully licensed </w:t>
            </w:r>
            <w:r w:rsidRPr="00F40195">
              <w:t>teacher-tutor position in each prototypical school.</w:t>
            </w:r>
          </w:p>
          <w:p w:rsidR="003C4DC5" w:rsidRPr="00F40195" w:rsidRDefault="003C4DC5" w:rsidP="00F40195">
            <w:pPr>
              <w:rPr>
                <w:szCs w:val="24"/>
              </w:rPr>
            </w:pPr>
          </w:p>
          <w:p w:rsidR="006B6B73" w:rsidRPr="00F40195" w:rsidRDefault="00A27F6B" w:rsidP="00F40195">
            <w:pPr>
              <w:rPr>
                <w:b/>
              </w:rPr>
            </w:pPr>
            <w:r w:rsidRPr="00F40195">
              <w:rPr>
                <w:szCs w:val="24"/>
              </w:rPr>
              <w:t>O</w:t>
            </w:r>
            <w:r w:rsidR="006B6B73" w:rsidRPr="00F40195">
              <w:rPr>
                <w:szCs w:val="24"/>
              </w:rPr>
              <w:t>ne (1</w:t>
            </w:r>
            <w:r w:rsidR="00DB2A29" w:rsidRPr="00F40195">
              <w:rPr>
                <w:szCs w:val="24"/>
              </w:rPr>
              <w:t>.0</w:t>
            </w:r>
            <w:r w:rsidR="006B6B73" w:rsidRPr="00F40195">
              <w:rPr>
                <w:szCs w:val="24"/>
              </w:rPr>
              <w:t xml:space="preserve">) fully licensed teacher-tutor position for every </w:t>
            </w:r>
            <w:r w:rsidR="002C1AC5" w:rsidRPr="00F40195">
              <w:rPr>
                <w:szCs w:val="24"/>
              </w:rPr>
              <w:t>12</w:t>
            </w:r>
            <w:r w:rsidR="00872844">
              <w:rPr>
                <w:szCs w:val="24"/>
              </w:rPr>
              <w:t>5</w:t>
            </w:r>
            <w:r w:rsidR="002C1AC5" w:rsidRPr="00F40195">
              <w:rPr>
                <w:szCs w:val="24"/>
              </w:rPr>
              <w:t xml:space="preserve"> </w:t>
            </w:r>
            <w:r w:rsidR="006B6B73" w:rsidRPr="00F40195">
              <w:rPr>
                <w:szCs w:val="24"/>
              </w:rPr>
              <w:t>pupils eligible for free and reduced p</w:t>
            </w:r>
            <w:r w:rsidR="00B57496" w:rsidRPr="00F40195">
              <w:rPr>
                <w:szCs w:val="24"/>
              </w:rPr>
              <w:t>rice lunch</w:t>
            </w:r>
            <w:r w:rsidR="00E10AEC" w:rsidRPr="00F40195">
              <w:rPr>
                <w:szCs w:val="24"/>
              </w:rPr>
              <w:t>.</w:t>
            </w: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pPr>
              <w:rPr>
                <w:szCs w:val="24"/>
              </w:rPr>
            </w:pPr>
            <w:r w:rsidRPr="00F40195">
              <w:rPr>
                <w:b/>
              </w:rPr>
              <w:t>Advisory Committee Recommendation</w:t>
            </w:r>
          </w:p>
        </w:tc>
      </w:tr>
      <w:tr w:rsidR="00C85A07" w:rsidRPr="00F40195">
        <w:tc>
          <w:tcPr>
            <w:tcW w:w="4788" w:type="dxa"/>
          </w:tcPr>
          <w:p w:rsidR="00C85A07" w:rsidRPr="00F40195" w:rsidRDefault="00723852" w:rsidP="00844962">
            <w:pPr>
              <w:pStyle w:val="Default"/>
            </w:pPr>
            <w:r w:rsidRPr="00F40195">
              <w:rPr>
                <w:rFonts w:eastAsiaTheme="minorHAnsi"/>
                <w:szCs w:val="22"/>
              </w:rPr>
              <w:t>Same as EB Model</w:t>
            </w:r>
          </w:p>
        </w:tc>
        <w:tc>
          <w:tcPr>
            <w:tcW w:w="4788" w:type="dxa"/>
          </w:tcPr>
          <w:p w:rsidR="00C85A07" w:rsidRPr="00F40195" w:rsidRDefault="00723852" w:rsidP="00844962">
            <w:pPr>
              <w:pStyle w:val="Default"/>
            </w:pPr>
            <w:r w:rsidRPr="00F40195">
              <w:rPr>
                <w:rFonts w:eastAsiaTheme="minorHAnsi"/>
                <w:szCs w:val="22"/>
              </w:rPr>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6B6B73" w:rsidP="00F40195">
            <w:pPr>
              <w:rPr>
                <w:szCs w:val="24"/>
              </w:rPr>
            </w:pPr>
            <w:r w:rsidRPr="00F40195">
              <w:rPr>
                <w:szCs w:val="24"/>
              </w:rPr>
              <w:t>The most powerful and effective extra help strategy to enable struggling students to meet state standards is individual one-to-one tutoring provided by licensed teachers (Shanahan, 1998; Wasik &amp; Slavin, 1993)</w:t>
            </w:r>
            <w:r w:rsidR="009739FE" w:rsidRPr="00F40195">
              <w:rPr>
                <w:szCs w:val="24"/>
              </w:rPr>
              <w:t xml:space="preserve">. </w:t>
            </w:r>
            <w:r w:rsidRPr="00F40195">
              <w:rPr>
                <w:szCs w:val="24"/>
              </w:rPr>
              <w:t xml:space="preserve">Students who must work harder and need more assistance to achieve to proficiency levels (i.e. students who are </w:t>
            </w:r>
            <w:r w:rsidR="00723852" w:rsidRPr="00F40195">
              <w:rPr>
                <w:szCs w:val="24"/>
              </w:rPr>
              <w:t>EL</w:t>
            </w:r>
            <w:r w:rsidRPr="00F40195">
              <w:rPr>
                <w:szCs w:val="24"/>
              </w:rPr>
              <w:t>, low income, or have minor disabilities) especially benefit from preventative tutoring</w:t>
            </w:r>
            <w:r w:rsidR="00954CB4" w:rsidRPr="00F40195">
              <w:rPr>
                <w:szCs w:val="24"/>
              </w:rPr>
              <w:t xml:space="preserve"> (Cohen, Kulik, &amp; Kulik, 1982).</w:t>
            </w:r>
          </w:p>
          <w:p w:rsidR="006B6B73" w:rsidRPr="00F40195" w:rsidRDefault="006B6B73" w:rsidP="00F40195">
            <w:pPr>
              <w:rPr>
                <w:szCs w:val="24"/>
              </w:rPr>
            </w:pPr>
          </w:p>
          <w:p w:rsidR="006B6B73" w:rsidRPr="00F40195" w:rsidRDefault="006B6B73" w:rsidP="00F40195">
            <w:pPr>
              <w:rPr>
                <w:szCs w:val="24"/>
              </w:rPr>
            </w:pPr>
            <w:r w:rsidRPr="00F40195">
              <w:rPr>
                <w:szCs w:val="24"/>
              </w:rPr>
              <w:t xml:space="preserve">The impact of tutoring programs depends on how they are staffed and organized, </w:t>
            </w:r>
            <w:r w:rsidR="00AF21F0" w:rsidRPr="00F40195">
              <w:rPr>
                <w:szCs w:val="24"/>
              </w:rPr>
              <w:t xml:space="preserve">their </w:t>
            </w:r>
            <w:r w:rsidRPr="00F40195">
              <w:rPr>
                <w:szCs w:val="24"/>
              </w:rPr>
              <w:t>relation to the core program, and tutoring intensity. Researchers (Cohen, Kulik, &amp; Kulik, 1982; Farkas, 1998; Shanahan, 1998; Wasik &amp; Slavin, 1993) and experts on tutoring practices (Gordon, 2009) have found greater effects when the tutoring includes the following:</w:t>
            </w:r>
          </w:p>
          <w:p w:rsidR="006C18BB" w:rsidRPr="00F40195" w:rsidRDefault="006C18BB" w:rsidP="00F40195">
            <w:pPr>
              <w:rPr>
                <w:szCs w:val="24"/>
              </w:rPr>
            </w:pPr>
          </w:p>
          <w:p w:rsidR="006B6B73" w:rsidRPr="00F40195" w:rsidRDefault="006B6B73" w:rsidP="00F40195">
            <w:pPr>
              <w:pStyle w:val="ListParagraph"/>
              <w:numPr>
                <w:ilvl w:val="0"/>
                <w:numId w:val="3"/>
              </w:numPr>
              <w:rPr>
                <w:szCs w:val="24"/>
              </w:rPr>
            </w:pPr>
            <w:r w:rsidRPr="00F40195">
              <w:rPr>
                <w:szCs w:val="24"/>
              </w:rPr>
              <w:t>Professional teachers as tutors</w:t>
            </w:r>
          </w:p>
          <w:p w:rsidR="006B6B73" w:rsidRPr="00F40195" w:rsidRDefault="006B6B73" w:rsidP="00F40195">
            <w:pPr>
              <w:pStyle w:val="ListParagraph"/>
              <w:numPr>
                <w:ilvl w:val="0"/>
                <w:numId w:val="3"/>
              </w:numPr>
              <w:rPr>
                <w:szCs w:val="24"/>
              </w:rPr>
            </w:pPr>
            <w:r w:rsidRPr="00F40195">
              <w:rPr>
                <w:szCs w:val="24"/>
              </w:rPr>
              <w:t>Tutoring initially provided to students on a one-to-one basis</w:t>
            </w:r>
          </w:p>
          <w:p w:rsidR="006B6B73" w:rsidRPr="00F40195" w:rsidRDefault="006B6B73" w:rsidP="00F40195">
            <w:pPr>
              <w:pStyle w:val="ListParagraph"/>
              <w:numPr>
                <w:ilvl w:val="0"/>
                <w:numId w:val="3"/>
              </w:numPr>
              <w:rPr>
                <w:szCs w:val="24"/>
              </w:rPr>
            </w:pPr>
            <w:r w:rsidRPr="00F40195">
              <w:rPr>
                <w:szCs w:val="24"/>
              </w:rPr>
              <w:t>Tutors trained in specific tutoring strategies</w:t>
            </w:r>
          </w:p>
          <w:p w:rsidR="006B6B73" w:rsidRPr="00F40195" w:rsidRDefault="006B6B73" w:rsidP="00F40195">
            <w:pPr>
              <w:pStyle w:val="ListParagraph"/>
              <w:numPr>
                <w:ilvl w:val="0"/>
                <w:numId w:val="3"/>
              </w:numPr>
              <w:rPr>
                <w:szCs w:val="24"/>
              </w:rPr>
            </w:pPr>
            <w:r w:rsidRPr="00F40195">
              <w:rPr>
                <w:szCs w:val="24"/>
              </w:rPr>
              <w:t>Tutoring tightly aligned to the regular curriculum and to the specific learning challenges, with appropriate content specific scaffolding and modeling</w:t>
            </w:r>
          </w:p>
          <w:p w:rsidR="006B6B73" w:rsidRPr="00F40195" w:rsidRDefault="006B6B73" w:rsidP="00F40195">
            <w:pPr>
              <w:pStyle w:val="ListParagraph"/>
              <w:numPr>
                <w:ilvl w:val="0"/>
                <w:numId w:val="3"/>
              </w:numPr>
              <w:rPr>
                <w:szCs w:val="24"/>
              </w:rPr>
            </w:pPr>
            <w:r w:rsidRPr="00F40195">
              <w:rPr>
                <w:szCs w:val="24"/>
              </w:rPr>
              <w:t>Sufficient time for the tutoring</w:t>
            </w:r>
          </w:p>
          <w:p w:rsidR="006B6B73" w:rsidRPr="00F40195" w:rsidRDefault="006B6B73" w:rsidP="00F40195">
            <w:pPr>
              <w:pStyle w:val="ListParagraph"/>
              <w:numPr>
                <w:ilvl w:val="0"/>
                <w:numId w:val="3"/>
              </w:numPr>
              <w:rPr>
                <w:szCs w:val="24"/>
              </w:rPr>
            </w:pPr>
            <w:r w:rsidRPr="00F40195">
              <w:rPr>
                <w:szCs w:val="24"/>
              </w:rPr>
              <w:t>Highly structured programming, both substantively and organizationally</w:t>
            </w:r>
          </w:p>
          <w:p w:rsidR="006B6B73" w:rsidRPr="00F40195" w:rsidRDefault="006B6B73" w:rsidP="00F40195">
            <w:pPr>
              <w:rPr>
                <w:szCs w:val="24"/>
              </w:rPr>
            </w:pPr>
          </w:p>
          <w:p w:rsidR="006B6B73" w:rsidRPr="00F40195" w:rsidRDefault="00954CB4" w:rsidP="00F40195">
            <w:pPr>
              <w:rPr>
                <w:szCs w:val="24"/>
              </w:rPr>
            </w:pPr>
            <w:r w:rsidRPr="00F40195">
              <w:rPr>
                <w:szCs w:val="24"/>
              </w:rPr>
              <w:t>The</w:t>
            </w:r>
            <w:r w:rsidR="00AD2D45" w:rsidRPr="00F40195">
              <w:rPr>
                <w:szCs w:val="24"/>
              </w:rPr>
              <w:t xml:space="preserve"> above research suggests</w:t>
            </w:r>
            <w:r w:rsidR="006B6B73" w:rsidRPr="00F40195">
              <w:rPr>
                <w:szCs w:val="24"/>
              </w:rPr>
              <w:t xml:space="preserve"> several specific structural features of effective one-to-one tutoring programs:</w:t>
            </w:r>
          </w:p>
          <w:p w:rsidR="00B9037A" w:rsidRPr="00F40195" w:rsidRDefault="00B9037A" w:rsidP="00F40195">
            <w:pPr>
              <w:rPr>
                <w:szCs w:val="24"/>
              </w:rPr>
            </w:pPr>
          </w:p>
          <w:p w:rsidR="006B6B73" w:rsidRPr="00F40195" w:rsidRDefault="006B6B73" w:rsidP="00F40195">
            <w:pPr>
              <w:pStyle w:val="ListParagraph"/>
              <w:numPr>
                <w:ilvl w:val="0"/>
                <w:numId w:val="15"/>
              </w:numPr>
              <w:rPr>
                <w:rFonts w:eastAsiaTheme="minorHAnsi"/>
                <w:szCs w:val="24"/>
              </w:rPr>
            </w:pPr>
            <w:r w:rsidRPr="00F40195">
              <w:rPr>
                <w:szCs w:val="24"/>
              </w:rPr>
              <w:t>First, each tutor would tutor one student every 20 minutes, or three students per hour</w:t>
            </w:r>
            <w:r w:rsidR="009739FE" w:rsidRPr="00F40195">
              <w:rPr>
                <w:szCs w:val="24"/>
              </w:rPr>
              <w:t xml:space="preserve">. </w:t>
            </w:r>
            <w:r w:rsidRPr="00F40195">
              <w:rPr>
                <w:szCs w:val="24"/>
              </w:rPr>
              <w:t>This would allow one tutor position to tutor 18 students a day</w:t>
            </w:r>
            <w:r w:rsidR="009739FE" w:rsidRPr="00F40195">
              <w:rPr>
                <w:szCs w:val="24"/>
              </w:rPr>
              <w:t xml:space="preserve">. </w:t>
            </w:r>
            <w:r w:rsidRPr="00F40195">
              <w:rPr>
                <w:szCs w:val="24"/>
              </w:rPr>
              <w:t>(Since tutoring is such an intensive activity, individual teachers might spend only half their time tutoring; but a 1.0 FTE tutoring position would allow 18 students per day to receive 1-1 tutoring.)</w:t>
            </w:r>
            <w:r w:rsidR="009739FE" w:rsidRPr="00F40195">
              <w:rPr>
                <w:szCs w:val="24"/>
              </w:rPr>
              <w:t xml:space="preserve">. </w:t>
            </w:r>
            <w:r w:rsidRPr="00F40195">
              <w:rPr>
                <w:szCs w:val="24"/>
              </w:rPr>
              <w:t>Four positions would allow 72 students to receive individual tutoring daily in the prototypical elementary and middle schools.</w:t>
            </w:r>
          </w:p>
          <w:p w:rsidR="006B6B73" w:rsidRPr="00F40195" w:rsidRDefault="006B6B73" w:rsidP="00F40195">
            <w:pPr>
              <w:pStyle w:val="ListParagraph"/>
              <w:numPr>
                <w:ilvl w:val="0"/>
                <w:numId w:val="15"/>
              </w:numPr>
              <w:spacing w:after="200"/>
              <w:rPr>
                <w:rFonts w:eastAsiaTheme="minorHAnsi"/>
                <w:sz w:val="22"/>
                <w:szCs w:val="24"/>
              </w:rPr>
            </w:pPr>
            <w:r w:rsidRPr="00F40195">
              <w:rPr>
                <w:szCs w:val="24"/>
              </w:rPr>
              <w:t>Second, most students do not require tutoring all year long; tutoring programs generally assess students quarterly and change tutoring arrangements</w:t>
            </w:r>
            <w:r w:rsidR="009739FE" w:rsidRPr="00F40195">
              <w:rPr>
                <w:szCs w:val="24"/>
              </w:rPr>
              <w:t xml:space="preserve">. </w:t>
            </w:r>
            <w:r w:rsidRPr="00F40195">
              <w:rPr>
                <w:szCs w:val="24"/>
              </w:rPr>
              <w:t xml:space="preserve">With modest changes such as </w:t>
            </w:r>
            <w:r w:rsidRPr="00F40195">
              <w:rPr>
                <w:szCs w:val="24"/>
              </w:rPr>
              <w:lastRenderedPageBreak/>
              <w:t xml:space="preserve">these, close </w:t>
            </w:r>
            <w:r w:rsidR="00E457F9" w:rsidRPr="00F40195">
              <w:rPr>
                <w:szCs w:val="24"/>
              </w:rPr>
              <w:t>to half the student body of a 45</w:t>
            </w:r>
            <w:r w:rsidRPr="00F40195">
              <w:rPr>
                <w:szCs w:val="24"/>
              </w:rPr>
              <w:t>0-pupil school unit could receive individual tutoring during the year.</w:t>
            </w:r>
          </w:p>
          <w:p w:rsidR="00282438" w:rsidRPr="00F40195" w:rsidRDefault="006B6B73" w:rsidP="00F40195">
            <w:pPr>
              <w:rPr>
                <w:szCs w:val="24"/>
              </w:rPr>
            </w:pPr>
            <w:r w:rsidRPr="00F40195">
              <w:rPr>
                <w:szCs w:val="24"/>
              </w:rPr>
              <w:t>Third, not all students who are from a low-income background require individual tutoring, so a portion of the allocation could be used for students in the school who might not be from a lower income family but nevertheless have a learning issue that could be remedied by tutoring.</w:t>
            </w:r>
            <w:r w:rsidR="006A18D3" w:rsidRPr="00F40195">
              <w:rPr>
                <w:szCs w:val="24"/>
              </w:rPr>
              <w:t xml:space="preserve"> </w:t>
            </w:r>
            <w:r w:rsidR="00282438" w:rsidRPr="00F40195">
              <w:rPr>
                <w:szCs w:val="24"/>
              </w:rPr>
              <w:t xml:space="preserve">What has been effective with adolescents is a model combining intensive academic intervention such as tutoring with socio-emotional support with at a ratio of about 1:8 where the adult is a college-educated person but not necessarily a trained teacher. A randomize-control trial conducted by Cook, Dodge, Farkas, Fryer, et al (2014) produced as many as three years of growth in a single year with one-hour daily intervention.  Such a study supports the EB at-risk elements, which include both tutoring (an intensive academic intervention) and additional pupil support/counseling staff. </w:t>
            </w:r>
          </w:p>
          <w:p w:rsidR="006B6B73" w:rsidRPr="00F40195" w:rsidRDefault="006B6B73" w:rsidP="00F40195">
            <w:pPr>
              <w:rPr>
                <w:szCs w:val="24"/>
              </w:rPr>
            </w:pPr>
          </w:p>
          <w:p w:rsidR="006B6B73" w:rsidRPr="00F40195" w:rsidRDefault="006B6B73" w:rsidP="00F40195">
            <w:pPr>
              <w:rPr>
                <w:szCs w:val="24"/>
              </w:rPr>
            </w:pPr>
            <w:r w:rsidRPr="00F40195">
              <w:rPr>
                <w:szCs w:val="24"/>
              </w:rPr>
              <w:t>It is important to note that the instruction for all st</w:t>
            </w:r>
            <w:r w:rsidR="00FD223B" w:rsidRPr="00F40195">
              <w:rPr>
                <w:szCs w:val="24"/>
              </w:rPr>
              <w:t>udent groups needing extra help</w:t>
            </w:r>
            <w:r w:rsidRPr="00F40195">
              <w:rPr>
                <w:szCs w:val="24"/>
              </w:rPr>
              <w:t xml:space="preserve"> needs to be more explicit and sequenced than that for other students</w:t>
            </w:r>
            <w:r w:rsidR="009739FE" w:rsidRPr="00F40195">
              <w:rPr>
                <w:szCs w:val="24"/>
              </w:rPr>
              <w:t xml:space="preserve">. </w:t>
            </w:r>
            <w:r w:rsidRPr="00F40195">
              <w:rPr>
                <w:szCs w:val="24"/>
              </w:rPr>
              <w:t>Young children with weakness in knowledge of letters, letter sound relationships and phonemic awareness need explicit and systematic instruction to help them first decode and then learn to read and comprehend</w:t>
            </w:r>
            <w:r w:rsidR="009739FE" w:rsidRPr="00F40195">
              <w:rPr>
                <w:szCs w:val="24"/>
              </w:rPr>
              <w:t xml:space="preserve">. </w:t>
            </w:r>
            <w:r w:rsidRPr="00F40195">
              <w:rPr>
                <w:szCs w:val="24"/>
              </w:rPr>
              <w:t>As Torgeson (2004: 12) states:</w:t>
            </w:r>
          </w:p>
          <w:p w:rsidR="00327D1F" w:rsidRPr="00F40195" w:rsidRDefault="00327D1F" w:rsidP="00F40195">
            <w:pPr>
              <w:rPr>
                <w:szCs w:val="24"/>
              </w:rPr>
            </w:pPr>
          </w:p>
          <w:p w:rsidR="006B6B73" w:rsidRPr="00F40195" w:rsidRDefault="006B6B73" w:rsidP="00F40195">
            <w:pPr>
              <w:ind w:left="720" w:right="360"/>
              <w:rPr>
                <w:rFonts w:eastAsiaTheme="minorHAnsi"/>
                <w:sz w:val="22"/>
                <w:szCs w:val="24"/>
              </w:rPr>
            </w:pPr>
            <w:r w:rsidRPr="00F40195">
              <w:rPr>
                <w:szCs w:val="24"/>
              </w:rPr>
              <w:t>Explicit instruction is instruction that does not leave anything to chance and does not make assumptions about skills and knowledge that children will acquire on their own</w:t>
            </w:r>
            <w:r w:rsidR="009739FE" w:rsidRPr="00F40195">
              <w:rPr>
                <w:szCs w:val="24"/>
              </w:rPr>
              <w:t xml:space="preserve">. </w:t>
            </w:r>
            <w:r w:rsidRPr="00F40195">
              <w:rPr>
                <w:szCs w:val="24"/>
              </w:rPr>
              <w:t>For example, explicit instruction requires teachers to directly make connections between letters in print and the sounds of words, and it requires that these relationships be taught in a comprehensive fashion</w:t>
            </w:r>
            <w:r w:rsidR="009739FE" w:rsidRPr="00F40195">
              <w:rPr>
                <w:szCs w:val="24"/>
              </w:rPr>
              <w:t xml:space="preserve">. </w:t>
            </w:r>
            <w:r w:rsidRPr="00F40195">
              <w:rPr>
                <w:szCs w:val="24"/>
              </w:rPr>
              <w:t xml:space="preserve">Evidence for this is found in a recent study of preventive instruction given to a group of high at-risk children in kindergarten, first grade and second grade …..only the most [phonemically] explicit intervention produced a reliable increase in the growth of word-reading ability … schools must be prepared to provide very explicit and systematic instruction in beginning word-reading skills to some of their students if they expect virtually all children to acquire work-reading skills at grade level by the third grade …. Further, explicit instruction also requires that the meanings of words be directly taught and be explicitly practiced so that they are accessible when children are reading text…. Finally, it requires not only direct practice to build fluency…. but also careful, sequential instruction and practice in the use of comprehension strategies to help </w:t>
            </w:r>
            <w:r w:rsidR="00AF21F0" w:rsidRPr="00F40195">
              <w:rPr>
                <w:szCs w:val="24"/>
              </w:rPr>
              <w:t xml:space="preserve">construct </w:t>
            </w:r>
            <w:r w:rsidRPr="00F40195">
              <w:rPr>
                <w:szCs w:val="24"/>
              </w:rPr>
              <w:t>meaning.</w:t>
            </w:r>
          </w:p>
          <w:p w:rsidR="00CA4863" w:rsidRPr="00F40195" w:rsidRDefault="00CA4863" w:rsidP="00F40195">
            <w:pPr>
              <w:rPr>
                <w:szCs w:val="24"/>
              </w:rPr>
            </w:pPr>
          </w:p>
          <w:p w:rsidR="006B6B73" w:rsidRPr="00F40195" w:rsidRDefault="00A575B5" w:rsidP="00F40195">
            <w:pPr>
              <w:rPr>
                <w:szCs w:val="24"/>
              </w:rPr>
            </w:pPr>
            <w:r w:rsidRPr="00F40195">
              <w:rPr>
                <w:szCs w:val="24"/>
              </w:rPr>
              <w:t>O</w:t>
            </w:r>
            <w:r w:rsidR="006B6B73" w:rsidRPr="00F40195">
              <w:rPr>
                <w:szCs w:val="24"/>
              </w:rPr>
              <w:t>ne- to-one</w:t>
            </w:r>
            <w:r w:rsidR="006B6B73" w:rsidRPr="00F40195" w:rsidDel="006D4A8F">
              <w:rPr>
                <w:szCs w:val="24"/>
              </w:rPr>
              <w:t xml:space="preserve"> </w:t>
            </w:r>
            <w:r w:rsidR="006B6B73" w:rsidRPr="00F40195">
              <w:rPr>
                <w:szCs w:val="24"/>
              </w:rPr>
              <w:t>tutoring works with 20 minutes of tutoring per student</w:t>
            </w:r>
            <w:r w:rsidRPr="00F40195">
              <w:rPr>
                <w:szCs w:val="24"/>
              </w:rPr>
              <w:t xml:space="preserve"> for positive </w:t>
            </w:r>
            <w:proofErr w:type="gramStart"/>
            <w:r w:rsidRPr="00F40195">
              <w:rPr>
                <w:szCs w:val="24"/>
              </w:rPr>
              <w:t>effects</w:t>
            </w:r>
            <w:r w:rsidR="006B6B73" w:rsidRPr="00F40195">
              <w:rPr>
                <w:szCs w:val="24"/>
              </w:rPr>
              <w:t>,</w:t>
            </w:r>
            <w:proofErr w:type="gramEnd"/>
            <w:r w:rsidR="006B6B73" w:rsidRPr="00F40195">
              <w:rPr>
                <w:szCs w:val="24"/>
              </w:rPr>
              <w:t xml:space="preserve"> a one-to-three or one-to-five</w:t>
            </w:r>
            <w:r w:rsidR="006B6B73" w:rsidRPr="00F40195" w:rsidDel="006D4A8F">
              <w:rPr>
                <w:szCs w:val="24"/>
              </w:rPr>
              <w:t xml:space="preserve"> </w:t>
            </w:r>
            <w:r w:rsidR="006B6B73" w:rsidRPr="00F40195">
              <w:rPr>
                <w:szCs w:val="24"/>
              </w:rPr>
              <w:t>grouping requires a longer instructional time for the small group – up to 45 minutes</w:t>
            </w:r>
            <w:r w:rsidRPr="00F40195">
              <w:rPr>
                <w:szCs w:val="24"/>
              </w:rPr>
              <w:t xml:space="preserve"> (Elbaum, Vaughn, Hughes &amp; Moody, 1999, Torgeson 2004)</w:t>
            </w:r>
            <w:r w:rsidR="009739FE" w:rsidRPr="00F40195">
              <w:rPr>
                <w:szCs w:val="24"/>
              </w:rPr>
              <w:t xml:space="preserve">. </w:t>
            </w:r>
            <w:r w:rsidR="006B6B73" w:rsidRPr="00F40195">
              <w:rPr>
                <w:szCs w:val="24"/>
              </w:rPr>
              <w:t>The two latter groupings, with 45 minutes of instruction, reduced the rate of reading failure to a miniscule percentage.</w:t>
            </w:r>
          </w:p>
          <w:p w:rsidR="006B6B73" w:rsidRPr="00F40195" w:rsidRDefault="006B6B73" w:rsidP="00F40195">
            <w:pPr>
              <w:rPr>
                <w:szCs w:val="24"/>
              </w:rPr>
            </w:pPr>
          </w:p>
          <w:p w:rsidR="006B6B73" w:rsidRPr="00F40195" w:rsidRDefault="004B5DD7" w:rsidP="00F40195">
            <w:pPr>
              <w:rPr>
                <w:szCs w:val="24"/>
              </w:rPr>
            </w:pPr>
            <w:r w:rsidRPr="00F40195">
              <w:rPr>
                <w:szCs w:val="24"/>
              </w:rPr>
              <w:t>For example, i</w:t>
            </w:r>
            <w:r w:rsidR="006B6B73" w:rsidRPr="00F40195">
              <w:rPr>
                <w:szCs w:val="24"/>
              </w:rPr>
              <w:t xml:space="preserve">f the recommended numbers of tutors are used for such small groups, a one FTE reading position could teach 30 students a day in the one-to-three setting with 30 minutes of </w:t>
            </w:r>
            <w:r w:rsidR="006B6B73" w:rsidRPr="00F40195">
              <w:rPr>
                <w:szCs w:val="24"/>
              </w:rPr>
              <w:lastRenderedPageBreak/>
              <w:t>instruction per group, and 30+ students a day in the one-to-five</w:t>
            </w:r>
            <w:r w:rsidR="006B6B73" w:rsidRPr="00F40195" w:rsidDel="006D4A8F">
              <w:rPr>
                <w:szCs w:val="24"/>
              </w:rPr>
              <w:t xml:space="preserve"> </w:t>
            </w:r>
            <w:r w:rsidR="006B6B73" w:rsidRPr="00F40195">
              <w:rPr>
                <w:szCs w:val="24"/>
              </w:rPr>
              <w:t>setting with 45 minutes of instruction per group</w:t>
            </w:r>
            <w:r w:rsidR="009739FE" w:rsidRPr="00F40195">
              <w:rPr>
                <w:szCs w:val="24"/>
              </w:rPr>
              <w:t xml:space="preserve">. </w:t>
            </w:r>
            <w:r w:rsidR="006B6B73" w:rsidRPr="00F40195">
              <w:rPr>
                <w:szCs w:val="24"/>
              </w:rPr>
              <w:t>Four FTE tutoring positions could then provide this type of intensive instruction for up to 120 students daily</w:t>
            </w:r>
            <w:r w:rsidR="009739FE" w:rsidRPr="00F40195">
              <w:rPr>
                <w:szCs w:val="24"/>
              </w:rPr>
              <w:t xml:space="preserve">. </w:t>
            </w:r>
            <w:r w:rsidR="006B6B73" w:rsidRPr="00F40195">
              <w:rPr>
                <w:szCs w:val="24"/>
              </w:rPr>
              <w:t>In short, though we have emphasized 1-1 tutoring, and some students need 1-1 tutoring, other small group practices (which characterize the bulk of Tier 2 interventions) can also work, with the length of instruction for the small group increasing as the size of the group increases.</w:t>
            </w:r>
          </w:p>
          <w:p w:rsidR="006B6B73" w:rsidRPr="00F40195" w:rsidRDefault="006B6B73" w:rsidP="00F40195">
            <w:pPr>
              <w:rPr>
                <w:szCs w:val="24"/>
              </w:rPr>
            </w:pPr>
          </w:p>
          <w:p w:rsidR="00AB3EEA" w:rsidRPr="00F40195" w:rsidRDefault="006B6B73" w:rsidP="00AC576B">
            <w:pPr>
              <w:rPr>
                <w:szCs w:val="24"/>
              </w:rPr>
            </w:pPr>
            <w:r w:rsidRPr="00F40195">
              <w:rPr>
                <w:szCs w:val="24"/>
              </w:rPr>
              <w:t>Though Torgeson (2004) states that similar interventions can work with middle and high school students, the effect, unfortunately, is smaller as it is much more difficult to undo the lasting damage of not learning to read when students enter middle and high schools with severe reading deficiencies.</w:t>
            </w:r>
          </w:p>
        </w:tc>
      </w:tr>
    </w:tbl>
    <w:p w:rsidR="006B6B73" w:rsidRPr="00F40195" w:rsidRDefault="001C4FC5" w:rsidP="008D674A">
      <w:pPr>
        <w:pStyle w:val="Heading3"/>
      </w:pPr>
      <w:bookmarkStart w:id="97" w:name="_Toc395180687"/>
      <w:r w:rsidRPr="00F40195">
        <w:lastRenderedPageBreak/>
        <w:t>C.9 Extended-Day P</w:t>
      </w:r>
      <w:r w:rsidR="006B6B73" w:rsidRPr="00F40195">
        <w:t>rograms</w:t>
      </w:r>
      <w:bookmarkEnd w:id="97"/>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4329FF" w:rsidP="00844962">
            <w:pPr>
              <w:rPr>
                <w:rFonts w:eastAsiaTheme="majorEastAsia"/>
                <w:b/>
                <w:bCs/>
                <w:color w:val="365F91" w:themeColor="accent1" w:themeShade="BF"/>
                <w:szCs w:val="28"/>
                <w:lang w:eastAsia="ja-JP"/>
              </w:rPr>
            </w:pPr>
            <w:r w:rsidRPr="00F40195">
              <w:rPr>
                <w:rFonts w:eastAsiaTheme="minorHAnsi"/>
                <w:szCs w:val="22"/>
              </w:rPr>
              <w:t xml:space="preserve">Kentucky uses Free Priced Lunch enrollment counts (as opposed to Free </w:t>
            </w:r>
            <w:r w:rsidRPr="00F40195">
              <w:rPr>
                <w:rFonts w:eastAsiaTheme="minorHAnsi"/>
                <w:i/>
                <w:szCs w:val="22"/>
              </w:rPr>
              <w:t>and Reduced</w:t>
            </w:r>
            <w:r w:rsidRPr="00F40195">
              <w:rPr>
                <w:rFonts w:eastAsiaTheme="minorHAnsi"/>
                <w:szCs w:val="22"/>
              </w:rPr>
              <w:t xml:space="preserve"> Priced Lunch counts) when determining targeted aid. At risk aid applied as a </w:t>
            </w:r>
            <w:r w:rsidR="00282438" w:rsidRPr="00F40195">
              <w:rPr>
                <w:rFonts w:eastAsiaTheme="minorHAnsi"/>
                <w:szCs w:val="22"/>
              </w:rPr>
              <w:t>0</w:t>
            </w:r>
            <w:r w:rsidRPr="00F40195">
              <w:rPr>
                <w:rFonts w:eastAsiaTheme="minorHAnsi"/>
                <w:szCs w:val="22"/>
              </w:rPr>
              <w:t xml:space="preserve">.15 weight against the SEEK guaranteed base. The Division of Nutrition and Health Services supplies this information to the DOE. The SEEK formula does not </w:t>
            </w:r>
            <w:r w:rsidR="00EB647A" w:rsidRPr="00F40195">
              <w:rPr>
                <w:rFonts w:eastAsiaTheme="minorHAnsi"/>
                <w:szCs w:val="22"/>
              </w:rPr>
              <w:t>s</w:t>
            </w:r>
            <w:r w:rsidRPr="00F40195">
              <w:rPr>
                <w:rFonts w:eastAsiaTheme="minorHAnsi"/>
                <w:szCs w:val="22"/>
              </w:rPr>
              <w:t>tipulate how funds are used.</w:t>
            </w:r>
          </w:p>
        </w:tc>
        <w:tc>
          <w:tcPr>
            <w:tcW w:w="4788" w:type="dxa"/>
          </w:tcPr>
          <w:p w:rsidR="00E70F27" w:rsidRPr="00F40195" w:rsidRDefault="00DD34B5" w:rsidP="00F40195">
            <w:pPr>
              <w:rPr>
                <w:szCs w:val="24"/>
              </w:rPr>
            </w:pPr>
            <w:r>
              <w:rPr>
                <w:szCs w:val="24"/>
              </w:rPr>
              <w:t xml:space="preserve">The EB model seeks to provide funding for extended day classes of 15 students for two hours a day five days a week.  </w:t>
            </w:r>
            <w:r w:rsidR="00F35591">
              <w:rPr>
                <w:szCs w:val="24"/>
              </w:rPr>
              <w:t>It does</w:t>
            </w:r>
            <w:r>
              <w:rPr>
                <w:szCs w:val="24"/>
              </w:rPr>
              <w:t xml:space="preserve"> this by funding o</w:t>
            </w:r>
            <w:r w:rsidR="00E70F27" w:rsidRPr="00F40195">
              <w:rPr>
                <w:szCs w:val="24"/>
              </w:rPr>
              <w:t xml:space="preserve">ne (1) teacher position for every </w:t>
            </w:r>
            <w:r w:rsidR="0091288E" w:rsidRPr="00F40195">
              <w:rPr>
                <w:szCs w:val="24"/>
              </w:rPr>
              <w:t>30</w:t>
            </w:r>
            <w:r w:rsidR="001866F4" w:rsidRPr="00F40195">
              <w:rPr>
                <w:szCs w:val="24"/>
              </w:rPr>
              <w:t xml:space="preserve"> </w:t>
            </w:r>
            <w:r w:rsidR="003F1019" w:rsidRPr="00F40195">
              <w:rPr>
                <w:szCs w:val="24"/>
              </w:rPr>
              <w:t xml:space="preserve">attending </w:t>
            </w:r>
            <w:r w:rsidR="00E70F27" w:rsidRPr="00F40195">
              <w:rPr>
                <w:szCs w:val="24"/>
              </w:rPr>
              <w:t>free and reduced-price lunch students</w:t>
            </w:r>
            <w:r w:rsidR="007D19D4">
              <w:rPr>
                <w:szCs w:val="24"/>
              </w:rPr>
              <w:t>, which assumes only half of students will attend for class sizes of 15:1</w:t>
            </w:r>
            <w:r w:rsidR="00A85468" w:rsidRPr="00F40195">
              <w:rPr>
                <w:szCs w:val="24"/>
              </w:rPr>
              <w:t>(or 3.33 FTE per 100 such students)</w:t>
            </w:r>
            <w:r>
              <w:rPr>
                <w:szCs w:val="24"/>
              </w:rPr>
              <w:t xml:space="preserve">, </w:t>
            </w:r>
          </w:p>
          <w:p w:rsidR="006C18BB" w:rsidRPr="00F40195" w:rsidRDefault="006C18BB" w:rsidP="00F40195">
            <w:pPr>
              <w:rPr>
                <w:szCs w:val="24"/>
              </w:rPr>
            </w:pPr>
          </w:p>
          <w:p w:rsidR="00EA7478" w:rsidRPr="00516514" w:rsidRDefault="00F64E0F" w:rsidP="00465D68">
            <w:pPr>
              <w:pStyle w:val="ListParagraph"/>
              <w:numPr>
                <w:ilvl w:val="0"/>
                <w:numId w:val="16"/>
              </w:numPr>
              <w:rPr>
                <w:szCs w:val="24"/>
              </w:rPr>
            </w:pPr>
            <w:r w:rsidRPr="00DD34B5">
              <w:rPr>
                <w:szCs w:val="24"/>
              </w:rPr>
              <w:t>T</w:t>
            </w:r>
            <w:r w:rsidR="00EA7478" w:rsidRPr="00DD34B5">
              <w:rPr>
                <w:szCs w:val="24"/>
              </w:rPr>
              <w:t>he EB model assumes 50 percent of the free and reduced-price lunch eligible</w:t>
            </w:r>
            <w:r w:rsidR="00AC576B" w:rsidRPr="00BF21C7">
              <w:rPr>
                <w:szCs w:val="24"/>
              </w:rPr>
              <w:t xml:space="preserve"> pupils will attend the program</w:t>
            </w:r>
          </w:p>
          <w:p w:rsidR="00E70F27" w:rsidRPr="00F40195" w:rsidRDefault="00E70F27" w:rsidP="00F40195">
            <w:pPr>
              <w:pStyle w:val="ListParagraph"/>
              <w:numPr>
                <w:ilvl w:val="0"/>
                <w:numId w:val="16"/>
              </w:numPr>
              <w:spacing w:after="200"/>
              <w:rPr>
                <w:rFonts w:eastAsiaTheme="minorHAnsi"/>
                <w:i/>
                <w:iCs/>
                <w:color w:val="243F60" w:themeColor="accent1" w:themeShade="7F"/>
                <w:szCs w:val="24"/>
              </w:rPr>
            </w:pPr>
            <w:r w:rsidRPr="00F40195">
              <w:rPr>
                <w:szCs w:val="24"/>
              </w:rPr>
              <w:t xml:space="preserve">Position is paid at the rate of 25 percent of the position’s annual salary—enough to pay a teacher for a </w:t>
            </w:r>
            <w:r w:rsidR="00C0563D" w:rsidRPr="00F40195">
              <w:rPr>
                <w:szCs w:val="24"/>
              </w:rPr>
              <w:t>2-hour</w:t>
            </w:r>
            <w:r w:rsidRPr="00F40195">
              <w:rPr>
                <w:szCs w:val="24"/>
              </w:rPr>
              <w:t xml:space="preserve"> extended-day program, 5 days per week.</w:t>
            </w:r>
          </w:p>
          <w:p w:rsidR="00AA0E41" w:rsidRPr="00F40195" w:rsidRDefault="00AA0E41" w:rsidP="00F40195">
            <w:pPr>
              <w:pStyle w:val="ListParagraph"/>
              <w:numPr>
                <w:ilvl w:val="0"/>
                <w:numId w:val="16"/>
              </w:numPr>
              <w:rPr>
                <w:rFonts w:eastAsiaTheme="minorHAnsi"/>
                <w:szCs w:val="24"/>
              </w:rPr>
            </w:pPr>
            <w:r w:rsidRPr="00F40195">
              <w:rPr>
                <w:szCs w:val="24"/>
              </w:rPr>
              <w:t>This formula equates to 1 teacher position for eve</w:t>
            </w:r>
            <w:r w:rsidR="00FD223B" w:rsidRPr="00F40195">
              <w:rPr>
                <w:szCs w:val="24"/>
              </w:rPr>
              <w:t>ry 1</w:t>
            </w:r>
            <w:r w:rsidR="00B9037A" w:rsidRPr="00F40195">
              <w:rPr>
                <w:szCs w:val="24"/>
              </w:rPr>
              <w:t>20</w:t>
            </w:r>
            <w:r w:rsidRPr="00F40195">
              <w:rPr>
                <w:szCs w:val="24"/>
              </w:rPr>
              <w:t xml:space="preserve"> free and reduced price lunch students.</w:t>
            </w:r>
          </w:p>
          <w:p w:rsidR="00EA7478" w:rsidRPr="00F40195" w:rsidRDefault="00EA7478" w:rsidP="00F40195">
            <w:pPr>
              <w:rPr>
                <w:rFonts w:eastAsiaTheme="minorHAnsi"/>
                <w:szCs w:val="24"/>
              </w:rPr>
            </w:pPr>
          </w:p>
          <w:p w:rsidR="00AC576B" w:rsidRPr="00F40195" w:rsidRDefault="00E70F27" w:rsidP="0066654C">
            <w:pPr>
              <w:rPr>
                <w:b/>
              </w:rPr>
            </w:pPr>
            <w:r w:rsidRPr="00F40195">
              <w:rPr>
                <w:szCs w:val="24"/>
              </w:rPr>
              <w:t>These resources could be used for a different mix of teachers and other non-certified staff, with teachers providing at least one hour of homework help or after school tutoring.</w:t>
            </w:r>
          </w:p>
        </w:tc>
      </w:tr>
      <w:tr w:rsidR="00C85A07" w:rsidRPr="00F40195">
        <w:tc>
          <w:tcPr>
            <w:tcW w:w="4788" w:type="dxa"/>
          </w:tcPr>
          <w:p w:rsidR="00C85A07" w:rsidRPr="00F40195" w:rsidRDefault="00C85A07" w:rsidP="00F40195">
            <w:pPr>
              <w:keepNext/>
              <w:rPr>
                <w:szCs w:val="24"/>
              </w:rPr>
            </w:pPr>
            <w:r w:rsidRPr="00F40195">
              <w:rPr>
                <w:b/>
              </w:rPr>
              <w:t>Stakeholder Panel Recommendation</w:t>
            </w:r>
          </w:p>
        </w:tc>
        <w:tc>
          <w:tcPr>
            <w:tcW w:w="4788" w:type="dxa"/>
          </w:tcPr>
          <w:p w:rsidR="00C85A07" w:rsidRPr="00F40195" w:rsidRDefault="00C85A07" w:rsidP="00F40195">
            <w:pPr>
              <w:rPr>
                <w:szCs w:val="24"/>
              </w:rPr>
            </w:pPr>
            <w:r w:rsidRPr="00F40195">
              <w:rPr>
                <w:b/>
              </w:rPr>
              <w:t>Advisory Committee Recommendation</w:t>
            </w:r>
          </w:p>
        </w:tc>
      </w:tr>
      <w:tr w:rsidR="00C85A07" w:rsidRPr="00F40195">
        <w:tc>
          <w:tcPr>
            <w:tcW w:w="4788" w:type="dxa"/>
          </w:tcPr>
          <w:p w:rsidR="00C85A07" w:rsidRPr="00F40195" w:rsidRDefault="00282438" w:rsidP="00F40195">
            <w:pPr>
              <w:pStyle w:val="Default"/>
              <w:rPr>
                <w:rFonts w:eastAsiaTheme="minorHAnsi"/>
                <w:szCs w:val="22"/>
              </w:rPr>
            </w:pPr>
            <w:r w:rsidRPr="00F40195">
              <w:rPr>
                <w:rFonts w:eastAsiaTheme="minorHAnsi"/>
                <w:szCs w:val="22"/>
              </w:rPr>
              <w:t>Same as EB Model</w:t>
            </w:r>
          </w:p>
          <w:p w:rsidR="00C85A07" w:rsidRPr="00F40195" w:rsidRDefault="00C85A07" w:rsidP="00F40195">
            <w:pPr>
              <w:keepNext/>
              <w:rPr>
                <w:szCs w:val="24"/>
              </w:rPr>
            </w:pPr>
          </w:p>
        </w:tc>
        <w:tc>
          <w:tcPr>
            <w:tcW w:w="4788" w:type="dxa"/>
          </w:tcPr>
          <w:p w:rsidR="00C85A07" w:rsidRPr="00F40195" w:rsidRDefault="00282438" w:rsidP="00AC576B">
            <w:pPr>
              <w:pStyle w:val="Default"/>
            </w:pPr>
            <w:r w:rsidRPr="00F40195">
              <w:rPr>
                <w:rFonts w:eastAsiaTheme="minorHAnsi"/>
                <w:szCs w:val="22"/>
              </w:rPr>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4A592A" w:rsidRPr="00F40195" w:rsidRDefault="006B6B73" w:rsidP="00F40195">
            <w:pPr>
              <w:rPr>
                <w:szCs w:val="24"/>
              </w:rPr>
            </w:pPr>
            <w:r w:rsidRPr="00F40195">
              <w:rPr>
                <w:szCs w:val="24"/>
              </w:rPr>
              <w:t xml:space="preserve">At both elementary and secondary school levels, some struggling students are likely to benefit from after-school or extended-day programs, even if receiving Tier 2 interventions during the </w:t>
            </w:r>
            <w:r w:rsidRPr="00F40195">
              <w:rPr>
                <w:szCs w:val="24"/>
              </w:rPr>
              <w:lastRenderedPageBreak/>
              <w:t>regular school day</w:t>
            </w:r>
            <w:r w:rsidR="009739FE" w:rsidRPr="00F40195">
              <w:rPr>
                <w:szCs w:val="24"/>
              </w:rPr>
              <w:t xml:space="preserve">. </w:t>
            </w:r>
            <w:r w:rsidRPr="00F40195">
              <w:rPr>
                <w:szCs w:val="24"/>
              </w:rPr>
              <w:t>Extended day</w:t>
            </w:r>
            <w:r w:rsidR="00A017F7" w:rsidRPr="00F40195">
              <w:rPr>
                <w:szCs w:val="24"/>
              </w:rPr>
              <w:t xml:space="preserve"> </w:t>
            </w:r>
            <w:r w:rsidRPr="00F40195">
              <w:rPr>
                <w:szCs w:val="24"/>
              </w:rPr>
              <w:t xml:space="preserve">programs are created to provide </w:t>
            </w:r>
            <w:r w:rsidR="00A017F7" w:rsidRPr="00F40195">
              <w:rPr>
                <w:szCs w:val="24"/>
              </w:rPr>
              <w:t xml:space="preserve">more time for </w:t>
            </w:r>
            <w:r w:rsidRPr="00F40195">
              <w:rPr>
                <w:szCs w:val="24"/>
              </w:rPr>
              <w:t>academic support</w:t>
            </w:r>
            <w:r w:rsidR="00A017F7" w:rsidRPr="00F40195">
              <w:rPr>
                <w:szCs w:val="24"/>
              </w:rPr>
              <w:t xml:space="preserve"> and embedded professional deve</w:t>
            </w:r>
            <w:r w:rsidR="0066654C">
              <w:rPr>
                <w:szCs w:val="24"/>
              </w:rPr>
              <w:t>lo</w:t>
            </w:r>
            <w:r w:rsidR="00A017F7" w:rsidRPr="00F40195">
              <w:rPr>
                <w:szCs w:val="24"/>
              </w:rPr>
              <w:t>pment time</w:t>
            </w:r>
            <w:r w:rsidRPr="00F40195">
              <w:rPr>
                <w:szCs w:val="24"/>
              </w:rPr>
              <w:t xml:space="preserve"> as well as to provide a safe environment for children and adolescents after the school day ends.</w:t>
            </w:r>
          </w:p>
          <w:p w:rsidR="004A592A" w:rsidRPr="00F40195" w:rsidRDefault="004A592A" w:rsidP="00F40195">
            <w:pPr>
              <w:rPr>
                <w:szCs w:val="24"/>
              </w:rPr>
            </w:pPr>
          </w:p>
          <w:p w:rsidR="00A017F7" w:rsidRPr="00F40195" w:rsidRDefault="007D19D4" w:rsidP="00F40195">
            <w:pPr>
              <w:rPr>
                <w:szCs w:val="24"/>
              </w:rPr>
            </w:pPr>
            <w:r>
              <w:rPr>
                <w:szCs w:val="24"/>
              </w:rPr>
              <w:t>E</w:t>
            </w:r>
            <w:r w:rsidR="00A017F7" w:rsidRPr="00F40195">
              <w:rPr>
                <w:szCs w:val="24"/>
              </w:rPr>
              <w:t xml:space="preserve">xtended day programs can produce positive academic outcomes for students, particularly if they are low-income students (Farbman, Goldber, and Miller, 2014 </w:t>
            </w:r>
            <w:proofErr w:type="gramStart"/>
            <w:r w:rsidR="00A017F7" w:rsidRPr="00F40195">
              <w:rPr>
                <w:szCs w:val="24"/>
              </w:rPr>
              <w:t>and  Patall</w:t>
            </w:r>
            <w:proofErr w:type="gramEnd"/>
            <w:r w:rsidR="00A017F7" w:rsidRPr="00F40195">
              <w:rPr>
                <w:szCs w:val="24"/>
              </w:rPr>
              <w:t xml:space="preserve">, Cooper, and Allen, 2010). The quality of research is variable, but the consistent finding concerns how the extra time is used. If the additional time is used on activities that are known to improve student outcomes and they are well-designed and administered, then student outcomes will improve with additional benefits for disadvantaged students (Fashola, 1998; Patall, Cooper, and Allen, 2010; Posner &amp; Vandell, 1994; Vandell, Pierce and Dadisman, 2005). </w:t>
            </w:r>
          </w:p>
          <w:p w:rsidR="006B6B73" w:rsidRPr="00F40195" w:rsidRDefault="006B6B73" w:rsidP="00F40195">
            <w:pPr>
              <w:rPr>
                <w:szCs w:val="24"/>
              </w:rPr>
            </w:pPr>
          </w:p>
          <w:p w:rsidR="006B6B73" w:rsidRPr="00F40195" w:rsidRDefault="006B6B73" w:rsidP="00F40195">
            <w:pPr>
              <w:rPr>
                <w:szCs w:val="24"/>
              </w:rPr>
            </w:pPr>
            <w:r w:rsidRPr="00F40195">
              <w:rPr>
                <w:szCs w:val="24"/>
              </w:rPr>
              <w:t>Overall, studies have documented positive effects of extended day programs on the academic performance of students in</w:t>
            </w:r>
            <w:r w:rsidR="00DD1516" w:rsidRPr="00F40195">
              <w:rPr>
                <w:szCs w:val="24"/>
              </w:rPr>
              <w:t xml:space="preserve"> select after-school programs. </w:t>
            </w:r>
            <w:r w:rsidRPr="00F40195">
              <w:rPr>
                <w:szCs w:val="24"/>
              </w:rPr>
              <w:t>However, the evidence is mixed both because of research methods (few randomized trials)</w:t>
            </w:r>
            <w:r w:rsidR="004A592A" w:rsidRPr="00F40195">
              <w:rPr>
                <w:szCs w:val="24"/>
              </w:rPr>
              <w:t>,</w:t>
            </w:r>
            <w:r w:rsidRPr="00F40195">
              <w:rPr>
                <w:szCs w:val="24"/>
              </w:rPr>
              <w:t xml:space="preserve"> poor program quality and imperfect implementation of the programs studied</w:t>
            </w:r>
            <w:r w:rsidR="009739FE" w:rsidRPr="00F40195">
              <w:rPr>
                <w:szCs w:val="24"/>
              </w:rPr>
              <w:t xml:space="preserve">. </w:t>
            </w:r>
            <w:r w:rsidRPr="00F40195">
              <w:rPr>
                <w:szCs w:val="24"/>
              </w:rPr>
              <w:t>Researchers have identified several structural and institutional supports necessary to make after-school programs effective:</w:t>
            </w:r>
          </w:p>
          <w:p w:rsidR="004A592A" w:rsidRPr="00F40195" w:rsidDel="004A592A" w:rsidRDefault="006B6B73" w:rsidP="00F40195">
            <w:pPr>
              <w:pStyle w:val="ListParagraph"/>
              <w:numPr>
                <w:ilvl w:val="0"/>
                <w:numId w:val="16"/>
              </w:numPr>
              <w:rPr>
                <w:rFonts w:eastAsiaTheme="minorHAnsi"/>
                <w:szCs w:val="24"/>
              </w:rPr>
            </w:pPr>
            <w:r w:rsidRPr="00F40195">
              <w:rPr>
                <w:szCs w:val="24"/>
              </w:rPr>
              <w:t>Staff qualifications and support (staff training in child or adolescent development, after-school programming, elementary or secondary education, and content areas offered in the program, staff expertise; staff stability/turnover; compensation; institutional supports)</w:t>
            </w:r>
          </w:p>
          <w:p w:rsidR="004A592A" w:rsidRPr="00F40195" w:rsidDel="004A592A" w:rsidRDefault="006B6B73" w:rsidP="00F40195">
            <w:pPr>
              <w:pStyle w:val="ListParagraph"/>
              <w:numPr>
                <w:ilvl w:val="0"/>
                <w:numId w:val="16"/>
              </w:numPr>
              <w:rPr>
                <w:rFonts w:eastAsiaTheme="minorHAnsi"/>
                <w:szCs w:val="24"/>
              </w:rPr>
            </w:pPr>
            <w:r w:rsidRPr="00F40195">
              <w:rPr>
                <w:szCs w:val="24"/>
              </w:rPr>
              <w:t>Program/group size and configuration (enrollment size, ages served, group size, age groupings and child staff ratio) and a program culture of mastery</w:t>
            </w:r>
          </w:p>
          <w:p w:rsidR="004A592A" w:rsidRPr="00F40195" w:rsidDel="004A592A" w:rsidRDefault="006B6B73" w:rsidP="00F40195">
            <w:pPr>
              <w:pStyle w:val="ListParagraph"/>
              <w:numPr>
                <w:ilvl w:val="0"/>
                <w:numId w:val="16"/>
              </w:numPr>
              <w:rPr>
                <w:rFonts w:eastAsiaTheme="minorHAnsi"/>
                <w:szCs w:val="24"/>
              </w:rPr>
            </w:pPr>
            <w:r w:rsidRPr="00F40195">
              <w:rPr>
                <w:szCs w:val="24"/>
              </w:rPr>
              <w:t>Financial resources and budget (dedicated space and facilities that support skill development and mastery, equipment and materials to promote skill development and mastery; curricular resources in relevant content areas; location that is accessible to youth and families)</w:t>
            </w:r>
          </w:p>
          <w:p w:rsidR="004A592A" w:rsidRPr="00F40195" w:rsidDel="004A592A" w:rsidRDefault="006B6B73" w:rsidP="00F40195">
            <w:pPr>
              <w:pStyle w:val="ListParagraph"/>
              <w:numPr>
                <w:ilvl w:val="0"/>
                <w:numId w:val="16"/>
              </w:numPr>
              <w:rPr>
                <w:rFonts w:eastAsiaTheme="minorHAnsi"/>
                <w:szCs w:val="24"/>
              </w:rPr>
            </w:pPr>
            <w:r w:rsidRPr="00F40195">
              <w:rPr>
                <w:szCs w:val="24"/>
              </w:rPr>
              <w:t>Program partnerships and connections (with schools to connect administrators, teachers and programs; with larger networks of progra</w:t>
            </w:r>
            <w:r w:rsidR="00441150" w:rsidRPr="00F40195">
              <w:rPr>
                <w:szCs w:val="24"/>
              </w:rPr>
              <w:t>ms, with parents and community)</w:t>
            </w:r>
          </w:p>
          <w:p w:rsidR="006B6B73" w:rsidRPr="00AC576B" w:rsidRDefault="006B6B73" w:rsidP="00AC576B">
            <w:pPr>
              <w:pStyle w:val="ListParagraph"/>
              <w:numPr>
                <w:ilvl w:val="0"/>
                <w:numId w:val="16"/>
              </w:numPr>
              <w:rPr>
                <w:rFonts w:eastAsiaTheme="minorHAnsi"/>
                <w:szCs w:val="24"/>
              </w:rPr>
            </w:pPr>
            <w:r w:rsidRPr="00F40195">
              <w:rPr>
                <w:szCs w:val="24"/>
              </w:rPr>
              <w:t>Program sustainability strategies (institutional partners, networks, linkages; community linkages that support enhanced services; long term alliances to ensure long term funding).</w:t>
            </w:r>
          </w:p>
        </w:tc>
      </w:tr>
    </w:tbl>
    <w:p w:rsidR="00CA4863" w:rsidRPr="00F40195" w:rsidRDefault="00CA4863" w:rsidP="008D674A">
      <w:pPr>
        <w:pStyle w:val="Heading3"/>
      </w:pPr>
    </w:p>
    <w:p w:rsidR="00D73E7C" w:rsidRDefault="00D73E7C">
      <w:pPr>
        <w:rPr>
          <w:rFonts w:eastAsiaTheme="majorEastAsia" w:cs="Times New Roman"/>
          <w:b/>
          <w:bCs/>
          <w:szCs w:val="24"/>
        </w:rPr>
      </w:pPr>
      <w:r>
        <w:br w:type="page"/>
      </w:r>
    </w:p>
    <w:p w:rsidR="006B6B73" w:rsidRPr="00F40195" w:rsidRDefault="006B6B73" w:rsidP="008D674A">
      <w:pPr>
        <w:pStyle w:val="Heading3"/>
      </w:pPr>
      <w:bookmarkStart w:id="98" w:name="_Toc395180688"/>
      <w:r w:rsidRPr="00F40195">
        <w:lastRenderedPageBreak/>
        <w:t>C.10 Summer School</w:t>
      </w:r>
      <w:bookmarkEnd w:id="98"/>
      <w:r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Default="004329FF" w:rsidP="0066654C">
            <w:pPr>
              <w:rPr>
                <w:rFonts w:eastAsiaTheme="minorHAnsi"/>
                <w:szCs w:val="22"/>
              </w:rPr>
            </w:pPr>
            <w:r w:rsidRPr="00F40195">
              <w:rPr>
                <w:rFonts w:eastAsiaTheme="minorHAnsi"/>
                <w:szCs w:val="22"/>
              </w:rPr>
              <w:t xml:space="preserve">Kentucky uses Free Priced Lunch enrollment counts (as opposed to Free </w:t>
            </w:r>
            <w:r w:rsidRPr="00F40195">
              <w:rPr>
                <w:rFonts w:eastAsiaTheme="minorHAnsi"/>
                <w:i/>
                <w:szCs w:val="22"/>
              </w:rPr>
              <w:t>and Reduced</w:t>
            </w:r>
            <w:r w:rsidRPr="00F40195">
              <w:rPr>
                <w:rFonts w:eastAsiaTheme="minorHAnsi"/>
                <w:szCs w:val="22"/>
              </w:rPr>
              <w:t xml:space="preserve"> Priced Lunch counts) when determining targeted aid. At risk aid applied as a </w:t>
            </w:r>
            <w:r w:rsidR="00A017F7" w:rsidRPr="00F40195">
              <w:rPr>
                <w:rFonts w:eastAsiaTheme="minorHAnsi"/>
                <w:szCs w:val="22"/>
              </w:rPr>
              <w:t>0</w:t>
            </w:r>
            <w:r w:rsidRPr="00F40195">
              <w:rPr>
                <w:rFonts w:eastAsiaTheme="minorHAnsi"/>
                <w:szCs w:val="22"/>
              </w:rPr>
              <w:t xml:space="preserve">.15 weight against the SEEK guaranteed base. The Division of Nutrition and Health Services supplies this information to the DOE. The SEEK formula does not </w:t>
            </w:r>
            <w:r w:rsidR="00AB000B" w:rsidRPr="00F40195">
              <w:rPr>
                <w:rFonts w:eastAsiaTheme="minorHAnsi"/>
                <w:szCs w:val="22"/>
              </w:rPr>
              <w:t>s</w:t>
            </w:r>
            <w:r w:rsidRPr="00F40195">
              <w:rPr>
                <w:rFonts w:eastAsiaTheme="minorHAnsi"/>
                <w:szCs w:val="22"/>
              </w:rPr>
              <w:t>tipulate how funds are used.</w:t>
            </w:r>
            <w:r w:rsidR="00C4462A">
              <w:rPr>
                <w:rFonts w:eastAsiaTheme="minorHAnsi"/>
                <w:szCs w:val="22"/>
              </w:rPr>
              <w:t xml:space="preserve"> No summer school program is </w:t>
            </w:r>
            <w:r w:rsidR="00D6458D">
              <w:rPr>
                <w:rFonts w:eastAsiaTheme="minorHAnsi"/>
                <w:szCs w:val="22"/>
              </w:rPr>
              <w:t>specifically funded.</w:t>
            </w:r>
          </w:p>
          <w:p w:rsidR="00872844" w:rsidRPr="00F40195" w:rsidRDefault="00872844" w:rsidP="0066654C">
            <w:pPr>
              <w:rPr>
                <w:rFonts w:eastAsiaTheme="minorHAnsi"/>
                <w:b/>
                <w:sz w:val="22"/>
                <w:szCs w:val="22"/>
              </w:rPr>
            </w:pPr>
          </w:p>
        </w:tc>
        <w:tc>
          <w:tcPr>
            <w:tcW w:w="4788" w:type="dxa"/>
          </w:tcPr>
          <w:p w:rsidR="00F64E0F" w:rsidRPr="00F40195" w:rsidRDefault="00EA7478" w:rsidP="00F40195">
            <w:pPr>
              <w:rPr>
                <w:szCs w:val="24"/>
              </w:rPr>
            </w:pPr>
            <w:r w:rsidRPr="00F40195">
              <w:rPr>
                <w:szCs w:val="24"/>
              </w:rPr>
              <w:t>O</w:t>
            </w:r>
            <w:r w:rsidR="004329FF" w:rsidRPr="00F40195">
              <w:rPr>
                <w:szCs w:val="24"/>
              </w:rPr>
              <w:t>ne</w:t>
            </w:r>
            <w:r w:rsidRPr="00F40195">
              <w:rPr>
                <w:szCs w:val="24"/>
              </w:rPr>
              <w:t xml:space="preserve"> (1.0)</w:t>
            </w:r>
            <w:r w:rsidR="004329FF" w:rsidRPr="00F40195">
              <w:rPr>
                <w:szCs w:val="24"/>
              </w:rPr>
              <w:t xml:space="preserve"> FTE position for every 30 free and reduced price lunch students or 3.33 per 100 such students. </w:t>
            </w:r>
            <w:r w:rsidR="00F64E0F" w:rsidRPr="00F40195">
              <w:rPr>
                <w:szCs w:val="24"/>
              </w:rPr>
              <w:t>T</w:t>
            </w:r>
            <w:r w:rsidR="004329FF" w:rsidRPr="00F40195">
              <w:rPr>
                <w:szCs w:val="24"/>
              </w:rPr>
              <w:t>he EB model assumes 50 percent of the free and reduced-price lunch eligible students will attend the program</w:t>
            </w:r>
            <w:r w:rsidR="00AB000B" w:rsidRPr="00F40195">
              <w:rPr>
                <w:szCs w:val="24"/>
              </w:rPr>
              <w:t>.</w:t>
            </w:r>
            <w:r w:rsidR="004329FF" w:rsidRPr="00F40195">
              <w:rPr>
                <w:szCs w:val="24"/>
              </w:rPr>
              <w:t xml:space="preserve"> </w:t>
            </w:r>
          </w:p>
          <w:p w:rsidR="00F64E0F" w:rsidRPr="00F40195" w:rsidRDefault="00F64E0F" w:rsidP="00F40195">
            <w:pPr>
              <w:rPr>
                <w:szCs w:val="24"/>
              </w:rPr>
            </w:pPr>
          </w:p>
          <w:p w:rsidR="00EA7478" w:rsidRPr="00F40195" w:rsidRDefault="00F64E0F" w:rsidP="00F40195">
            <w:pPr>
              <w:rPr>
                <w:szCs w:val="24"/>
              </w:rPr>
            </w:pPr>
            <w:r w:rsidRPr="00F40195">
              <w:rPr>
                <w:szCs w:val="24"/>
              </w:rPr>
              <w:t>This ratio</w:t>
            </w:r>
            <w:r w:rsidR="004329FF" w:rsidRPr="00F40195">
              <w:rPr>
                <w:szCs w:val="24"/>
              </w:rPr>
              <w:t xml:space="preserve"> will </w:t>
            </w:r>
            <w:r w:rsidR="00872844">
              <w:rPr>
                <w:szCs w:val="24"/>
              </w:rPr>
              <w:t>fund</w:t>
            </w:r>
            <w:r w:rsidR="004329FF" w:rsidRPr="00F40195">
              <w:rPr>
                <w:szCs w:val="24"/>
              </w:rPr>
              <w:t xml:space="preserve"> class sizes of approximately 15 in summer school programs. Although a summer school term of six 8 weeks will have fewer hours than five day a week extended day programs, we continue to fund this at the same rate to allow for teacher planning time for the summer school program – something that is less needed in extended day programs</w:t>
            </w:r>
            <w:r w:rsidR="00EA7478" w:rsidRPr="00F40195">
              <w:rPr>
                <w:szCs w:val="24"/>
              </w:rPr>
              <w:t>. A six-hour day would also allow for two hours of non-academic activities.</w:t>
            </w:r>
          </w:p>
          <w:p w:rsidR="00EA7478" w:rsidRPr="00F40195" w:rsidRDefault="00EA7478" w:rsidP="00F40195">
            <w:pPr>
              <w:rPr>
                <w:szCs w:val="24"/>
              </w:rPr>
            </w:pPr>
          </w:p>
          <w:p w:rsidR="00AC576B" w:rsidRPr="00F40195" w:rsidRDefault="004329FF" w:rsidP="0066654C">
            <w:pPr>
              <w:rPr>
                <w:b/>
              </w:rPr>
            </w:pPr>
            <w:r w:rsidRPr="00F40195">
              <w:rPr>
                <w:szCs w:val="24"/>
              </w:rPr>
              <w:t>Simplified, the EB summer school formula equates to 1 teacher position for every 120 free and reduced price lunch students.</w:t>
            </w: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pPr>
              <w:rPr>
                <w:szCs w:val="24"/>
              </w:rPr>
            </w:pPr>
            <w:r w:rsidRPr="00F40195">
              <w:rPr>
                <w:b/>
              </w:rPr>
              <w:t>Advisory Committee Recommendation</w:t>
            </w:r>
          </w:p>
        </w:tc>
      </w:tr>
      <w:tr w:rsidR="00C85A07" w:rsidRPr="00F40195">
        <w:tc>
          <w:tcPr>
            <w:tcW w:w="4788" w:type="dxa"/>
          </w:tcPr>
          <w:p w:rsidR="00C85A07" w:rsidRPr="00F40195" w:rsidRDefault="009E3CB4" w:rsidP="00844962">
            <w:pPr>
              <w:pStyle w:val="Default"/>
            </w:pPr>
            <w:r w:rsidRPr="00F40195">
              <w:rPr>
                <w:rFonts w:eastAsiaTheme="minorHAnsi"/>
                <w:szCs w:val="22"/>
              </w:rPr>
              <w:t>Same as EB Model</w:t>
            </w:r>
          </w:p>
        </w:tc>
        <w:tc>
          <w:tcPr>
            <w:tcW w:w="4788" w:type="dxa"/>
          </w:tcPr>
          <w:p w:rsidR="00C85A07" w:rsidRPr="00F40195" w:rsidRDefault="009E3CB4" w:rsidP="00844962">
            <w:pPr>
              <w:pStyle w:val="Default"/>
            </w:pPr>
            <w:r w:rsidRPr="00F40195">
              <w:rPr>
                <w:rFonts w:eastAsiaTheme="minorHAnsi"/>
                <w:szCs w:val="22"/>
              </w:rPr>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1017AD" w:rsidRPr="00F40195" w:rsidRDefault="006B6B73" w:rsidP="00F40195">
            <w:pPr>
              <w:rPr>
                <w:szCs w:val="24"/>
              </w:rPr>
            </w:pPr>
            <w:r w:rsidRPr="00F40195">
              <w:rPr>
                <w:szCs w:val="24"/>
              </w:rPr>
              <w:t>Many students need extra instructional time to achieve their state’s high proficiency standards</w:t>
            </w:r>
            <w:r w:rsidR="009739FE" w:rsidRPr="00F40195">
              <w:rPr>
                <w:szCs w:val="24"/>
              </w:rPr>
              <w:t xml:space="preserve">. </w:t>
            </w:r>
            <w:r w:rsidRPr="00F40195">
              <w:rPr>
                <w:szCs w:val="24"/>
              </w:rPr>
              <w:t xml:space="preserve">Thus, </w:t>
            </w:r>
            <w:r w:rsidR="00F35591">
              <w:t>extended year or</w:t>
            </w:r>
            <w:r w:rsidR="00F35591" w:rsidRPr="00F40195">
              <w:rPr>
                <w:szCs w:val="24"/>
              </w:rPr>
              <w:t xml:space="preserve"> </w:t>
            </w:r>
            <w:r w:rsidRPr="00F40195">
              <w:rPr>
                <w:szCs w:val="24"/>
              </w:rPr>
              <w:t xml:space="preserve">summer </w:t>
            </w:r>
            <w:r w:rsidR="00C04DBF" w:rsidRPr="00F40195">
              <w:rPr>
                <w:szCs w:val="24"/>
              </w:rPr>
              <w:t>learning opportunities</w:t>
            </w:r>
            <w:r w:rsidRPr="00F40195">
              <w:rPr>
                <w:szCs w:val="24"/>
              </w:rPr>
              <w:t xml:space="preserve"> should be part of the set of programs available to provide struggling students the additional time and help they need to achieve to standards and earn academic promotion from </w:t>
            </w:r>
            <w:r w:rsidR="00DD1516" w:rsidRPr="00F40195">
              <w:rPr>
                <w:szCs w:val="24"/>
              </w:rPr>
              <w:t xml:space="preserve">grade to grade (Borman, 2001). </w:t>
            </w:r>
            <w:r w:rsidRPr="00F40195">
              <w:rPr>
                <w:szCs w:val="24"/>
              </w:rPr>
              <w:t>Providing additional time to help all students master the same content is an initiative that is grounded in research (National Education Commission on Time and Learning, 1994).</w:t>
            </w:r>
          </w:p>
          <w:p w:rsidR="006B6B73" w:rsidRPr="00F40195" w:rsidRDefault="006B6B73" w:rsidP="00F40195">
            <w:pPr>
              <w:rPr>
                <w:szCs w:val="24"/>
              </w:rPr>
            </w:pPr>
          </w:p>
          <w:p w:rsidR="006B6B73" w:rsidRPr="00F40195" w:rsidRDefault="00AA7DFD" w:rsidP="00F40195">
            <w:pPr>
              <w:rPr>
                <w:szCs w:val="24"/>
              </w:rPr>
            </w:pPr>
            <w:r w:rsidRPr="00F40195">
              <w:rPr>
                <w:szCs w:val="24"/>
              </w:rPr>
              <w:t>On average, students</w:t>
            </w:r>
            <w:r w:rsidR="006B6B73" w:rsidRPr="00F40195">
              <w:rPr>
                <w:szCs w:val="24"/>
              </w:rPr>
              <w:t xml:space="preserve"> lose a little more than a month’s worth of skill or knowledge over the summer break (Cooper, Nye, Charlton, Lindsay, &amp; Greathouse, 1996)</w:t>
            </w:r>
            <w:r w:rsidR="009739FE" w:rsidRPr="00F40195">
              <w:rPr>
                <w:szCs w:val="24"/>
              </w:rPr>
              <w:t xml:space="preserve">. </w:t>
            </w:r>
            <w:r w:rsidR="006B6B73" w:rsidRPr="00F40195">
              <w:rPr>
                <w:szCs w:val="24"/>
              </w:rPr>
              <w:t xml:space="preserve">Summer breaks have a larger deleterious impact on poor </w:t>
            </w:r>
            <w:r w:rsidR="001017AD" w:rsidRPr="00F40195">
              <w:rPr>
                <w:szCs w:val="24"/>
              </w:rPr>
              <w:t>children’s</w:t>
            </w:r>
            <w:r w:rsidR="006B6B73" w:rsidRPr="00F40195">
              <w:rPr>
                <w:szCs w:val="24"/>
              </w:rPr>
              <w:t xml:space="preserve"> reading and mathematics achievement</w:t>
            </w:r>
            <w:r w:rsidR="009739FE" w:rsidRPr="00F40195">
              <w:rPr>
                <w:szCs w:val="24"/>
              </w:rPr>
              <w:t xml:space="preserve">. </w:t>
            </w:r>
            <w:r w:rsidR="006B6B73" w:rsidRPr="00F40195">
              <w:rPr>
                <w:szCs w:val="24"/>
              </w:rPr>
              <w:t xml:space="preserve">This </w:t>
            </w:r>
            <w:r w:rsidR="0009422B" w:rsidRPr="00F40195">
              <w:rPr>
                <w:szCs w:val="24"/>
              </w:rPr>
              <w:t>summer learning loss</w:t>
            </w:r>
            <w:r w:rsidR="006B6B73" w:rsidRPr="00F40195">
              <w:rPr>
                <w:szCs w:val="24"/>
              </w:rPr>
              <w:t xml:space="preserve"> </w:t>
            </w:r>
            <w:r w:rsidR="00DD1516" w:rsidRPr="00F40195">
              <w:rPr>
                <w:szCs w:val="24"/>
              </w:rPr>
              <w:t>(sometimes known as “summer slide” or “summer melt</w:t>
            </w:r>
            <w:r w:rsidR="00BE4EA8" w:rsidRPr="00F40195">
              <w:rPr>
                <w:szCs w:val="24"/>
              </w:rPr>
              <w:t>’</w:t>
            </w:r>
            <w:r w:rsidR="00DD1516" w:rsidRPr="00F40195">
              <w:rPr>
                <w:szCs w:val="24"/>
              </w:rPr>
              <w:t xml:space="preserve">) </w:t>
            </w:r>
            <w:r w:rsidR="006B6B73" w:rsidRPr="00F40195">
              <w:rPr>
                <w:szCs w:val="24"/>
              </w:rPr>
              <w:t>can reach as much as one-third of the learning during a regular nine-month school year (Cooper et al., 1996)</w:t>
            </w:r>
            <w:r w:rsidR="009739FE" w:rsidRPr="00F40195">
              <w:rPr>
                <w:szCs w:val="24"/>
              </w:rPr>
              <w:t xml:space="preserve">. </w:t>
            </w:r>
            <w:r w:rsidRPr="00F40195">
              <w:rPr>
                <w:szCs w:val="24"/>
              </w:rPr>
              <w:t>These i</w:t>
            </w:r>
            <w:r w:rsidR="006B6B73" w:rsidRPr="00F40195">
              <w:rPr>
                <w:szCs w:val="24"/>
              </w:rPr>
              <w:t xml:space="preserve">ncome-based summer learning differences </w:t>
            </w:r>
            <w:r w:rsidR="006B6B73" w:rsidRPr="00F40195">
              <w:rPr>
                <w:i/>
                <w:szCs w:val="24"/>
              </w:rPr>
              <w:t xml:space="preserve">accumulate </w:t>
            </w:r>
            <w:r w:rsidR="006B6B73" w:rsidRPr="00F40195">
              <w:rPr>
                <w:szCs w:val="24"/>
              </w:rPr>
              <w:t>over the elementary school years, such that poor children</w:t>
            </w:r>
            <w:r w:rsidR="001017AD" w:rsidRPr="00F40195">
              <w:rPr>
                <w:szCs w:val="24"/>
              </w:rPr>
              <w:t>’</w:t>
            </w:r>
            <w:r w:rsidR="006B6B73" w:rsidRPr="00F40195">
              <w:rPr>
                <w:szCs w:val="24"/>
              </w:rPr>
              <w:t>s achievement scores – without summer school – fall further and further behind the scores of middle class students as they progress through school grade by grade</w:t>
            </w:r>
            <w:r w:rsidRPr="00F40195">
              <w:rPr>
                <w:szCs w:val="24"/>
              </w:rPr>
              <w:t xml:space="preserve"> (Alexander and Entwisle, 1996)</w:t>
            </w:r>
            <w:r w:rsidR="009739FE" w:rsidRPr="00F40195">
              <w:rPr>
                <w:szCs w:val="24"/>
              </w:rPr>
              <w:t xml:space="preserve">. </w:t>
            </w:r>
            <w:r w:rsidRPr="00F40195">
              <w:rPr>
                <w:szCs w:val="24"/>
              </w:rPr>
              <w:t>T</w:t>
            </w:r>
            <w:r w:rsidR="006B6B73" w:rsidRPr="00F40195">
              <w:rPr>
                <w:szCs w:val="24"/>
              </w:rPr>
              <w:t xml:space="preserve">here is consensus that what happens (or does not happen) during the summer can significantly impact the achievement of students from low-income backgrounds, and help reduce (or increase) the poor and minority achievement gaps in the </w:t>
            </w:r>
            <w:r w:rsidR="006B6B73" w:rsidRPr="00F40195">
              <w:rPr>
                <w:szCs w:val="24"/>
              </w:rPr>
              <w:lastRenderedPageBreak/>
              <w:t>United States (</w:t>
            </w:r>
            <w:r w:rsidR="0038092A" w:rsidRPr="00F40195">
              <w:rPr>
                <w:szCs w:val="24"/>
              </w:rPr>
              <w:t>Allington, R.I, McGill-Franzen, A., Camilli, G., Williams, L. et al, 2010</w:t>
            </w:r>
            <w:r w:rsidR="0009422B" w:rsidRPr="00F40195">
              <w:rPr>
                <w:szCs w:val="24"/>
              </w:rPr>
              <w:t>; Kim, J.S. &amp; Quinn, D.M., 2013</w:t>
            </w:r>
            <w:r w:rsidR="006B6B73" w:rsidRPr="00F40195">
              <w:rPr>
                <w:szCs w:val="24"/>
              </w:rPr>
              <w:t>).</w:t>
            </w:r>
          </w:p>
          <w:p w:rsidR="001017AD" w:rsidRPr="00F40195" w:rsidRDefault="001017AD" w:rsidP="00F40195">
            <w:pPr>
              <w:rPr>
                <w:szCs w:val="24"/>
              </w:rPr>
            </w:pPr>
          </w:p>
          <w:p w:rsidR="001017AD" w:rsidRPr="00F40195" w:rsidRDefault="00AA7DFD" w:rsidP="00F40195">
            <w:pPr>
              <w:rPr>
                <w:szCs w:val="24"/>
              </w:rPr>
            </w:pPr>
            <w:r w:rsidRPr="00F40195">
              <w:rPr>
                <w:szCs w:val="24"/>
              </w:rPr>
              <w:t>E</w:t>
            </w:r>
            <w:r w:rsidR="006B6B73" w:rsidRPr="00F40195">
              <w:rPr>
                <w:szCs w:val="24"/>
              </w:rPr>
              <w:t xml:space="preserve">vidence on the effectiveness of summer programs in </w:t>
            </w:r>
            <w:r w:rsidR="009B5F13" w:rsidRPr="00F40195">
              <w:rPr>
                <w:szCs w:val="24"/>
              </w:rPr>
              <w:t>improving achievement or closing the achievement gap</w:t>
            </w:r>
            <w:r w:rsidR="00B9037A" w:rsidRPr="00F40195">
              <w:rPr>
                <w:szCs w:val="24"/>
              </w:rPr>
              <w:t>, however,</w:t>
            </w:r>
            <w:r w:rsidR="006B6B73" w:rsidRPr="00F40195">
              <w:rPr>
                <w:szCs w:val="24"/>
              </w:rPr>
              <w:t xml:space="preserve"> is mixed</w:t>
            </w:r>
            <w:r w:rsidR="009739FE" w:rsidRPr="00F40195">
              <w:rPr>
                <w:szCs w:val="24"/>
              </w:rPr>
              <w:t xml:space="preserve">. </w:t>
            </w:r>
            <w:r w:rsidR="006B6B73" w:rsidRPr="00F40195">
              <w:rPr>
                <w:szCs w:val="24"/>
              </w:rPr>
              <w:t>Though past research linking student achievement to summer programs shows some promise, several studies suffer from methodological shortcomings and the low quality of the summer school programs themselves (Borman &amp; Boulay, 2004).</w:t>
            </w:r>
          </w:p>
          <w:p w:rsidR="006B6B73" w:rsidRPr="00F40195" w:rsidRDefault="006B6B73" w:rsidP="00F40195">
            <w:pPr>
              <w:rPr>
                <w:szCs w:val="24"/>
              </w:rPr>
            </w:pPr>
          </w:p>
          <w:p w:rsidR="009B5F13" w:rsidRPr="00F40195" w:rsidRDefault="00AA7DFD" w:rsidP="00F40195">
            <w:pPr>
              <w:rPr>
                <w:szCs w:val="24"/>
              </w:rPr>
            </w:pPr>
            <w:r w:rsidRPr="00F40195">
              <w:rPr>
                <w:szCs w:val="24"/>
              </w:rPr>
              <w:t>T</w:t>
            </w:r>
            <w:r w:rsidR="006B6B73" w:rsidRPr="00F40195">
              <w:rPr>
                <w:szCs w:val="24"/>
              </w:rPr>
              <w:t xml:space="preserve">he average student in summer programs </w:t>
            </w:r>
            <w:r w:rsidRPr="00F40195">
              <w:rPr>
                <w:szCs w:val="24"/>
              </w:rPr>
              <w:t xml:space="preserve">among 93 studied </w:t>
            </w:r>
            <w:r w:rsidR="006B6B73" w:rsidRPr="00F40195">
              <w:rPr>
                <w:szCs w:val="24"/>
              </w:rPr>
              <w:t>outperformed about 56% to 60% of similar students not receiving the programs</w:t>
            </w:r>
            <w:r w:rsidRPr="00F40195">
              <w:rPr>
                <w:szCs w:val="24"/>
              </w:rPr>
              <w:t>, but the quality of the studies and programs compromise the conclusions (Cooper, Charlton, Valentine, &amp; Muhlenbruck, 2000).</w:t>
            </w:r>
            <w:r w:rsidR="009B5F13" w:rsidRPr="00F40195">
              <w:rPr>
                <w:szCs w:val="24"/>
              </w:rPr>
              <w:t xml:space="preserve"> </w:t>
            </w:r>
          </w:p>
          <w:p w:rsidR="009B5F13" w:rsidRPr="00F40195" w:rsidRDefault="009B5F13" w:rsidP="00F40195">
            <w:pPr>
              <w:rPr>
                <w:szCs w:val="24"/>
              </w:rPr>
            </w:pPr>
          </w:p>
          <w:p w:rsidR="00C20B6C" w:rsidRPr="00F40195" w:rsidRDefault="009B5F13" w:rsidP="00F40195">
            <w:r w:rsidRPr="00F40195">
              <w:rPr>
                <w:szCs w:val="24"/>
              </w:rPr>
              <w:t>The distinction between summer programs and specific learning opportunities is worth attending to in this instance. Specific types of learning activities can be tied more closely to improved achievement (Allington, R.I. et al, 2010; Kim, J.S. &amp; Quinn, D.M., 2013) than the more generic summer school program</w:t>
            </w:r>
            <w:r w:rsidR="00FD223B" w:rsidRPr="00F40195">
              <w:rPr>
                <w:szCs w:val="24"/>
              </w:rPr>
              <w:t xml:space="preserve">, </w:t>
            </w:r>
            <w:r w:rsidRPr="00F40195">
              <w:rPr>
                <w:szCs w:val="24"/>
              </w:rPr>
              <w:t>though randomized trial research of summer school reached more positive conclusions about how such programs can positively impact student learning (Borman &amp; Dowling, 2006; Roberts, 2000).</w:t>
            </w:r>
            <w:r w:rsidR="00C20B6C" w:rsidRPr="00F40195">
              <w:rPr>
                <w:szCs w:val="24"/>
              </w:rPr>
              <w:t xml:space="preserve"> For example, Borman, Goetz, and Dowling (2009) found both practical and statistical significance of summer school participation in </w:t>
            </w:r>
            <w:r w:rsidR="00C20B6C" w:rsidRPr="00F40195">
              <w:t xml:space="preserve">Developmental Reading Assessment (DRA) and the Word List </w:t>
            </w:r>
            <w:proofErr w:type="gramStart"/>
            <w:r w:rsidR="00C20B6C" w:rsidRPr="00F40195">
              <w:t>A</w:t>
            </w:r>
            <w:proofErr w:type="gramEnd"/>
            <w:r w:rsidR="00C20B6C" w:rsidRPr="00F40195">
              <w:t xml:space="preserve"> assessments in high poverty schools.</w:t>
            </w:r>
          </w:p>
          <w:p w:rsidR="001017AD" w:rsidRPr="00F40195" w:rsidRDefault="001017AD" w:rsidP="00F40195">
            <w:pPr>
              <w:rPr>
                <w:szCs w:val="24"/>
              </w:rPr>
            </w:pPr>
          </w:p>
          <w:p w:rsidR="006B6B73" w:rsidRPr="00F40195" w:rsidRDefault="009B5F13" w:rsidP="00F40195">
            <w:pPr>
              <w:spacing w:after="200"/>
              <w:rPr>
                <w:szCs w:val="24"/>
              </w:rPr>
            </w:pPr>
            <w:r w:rsidRPr="00F40195">
              <w:rPr>
                <w:szCs w:val="24"/>
              </w:rPr>
              <w:t xml:space="preserve">Borman and Dowling (2006) and Roberts (2000) </w:t>
            </w:r>
            <w:r w:rsidR="006B6B73" w:rsidRPr="00F40195">
              <w:rPr>
                <w:szCs w:val="24"/>
              </w:rPr>
              <w:t xml:space="preserve">note several program components related to improved achievement effects for summer program attendees, including:  </w:t>
            </w:r>
          </w:p>
          <w:p w:rsidR="006B6B73" w:rsidRPr="00F40195" w:rsidRDefault="006B6B73" w:rsidP="00F40195">
            <w:pPr>
              <w:pStyle w:val="ListParagraph"/>
              <w:numPr>
                <w:ilvl w:val="0"/>
                <w:numId w:val="4"/>
              </w:numPr>
              <w:spacing w:after="200"/>
              <w:rPr>
                <w:i/>
                <w:iCs/>
                <w:szCs w:val="24"/>
              </w:rPr>
            </w:pPr>
            <w:r w:rsidRPr="00F40195">
              <w:rPr>
                <w:szCs w:val="24"/>
              </w:rPr>
              <w:t>Early intervention during elementary school</w:t>
            </w:r>
          </w:p>
          <w:p w:rsidR="006B6B73" w:rsidRPr="00F40195" w:rsidRDefault="006B6B73" w:rsidP="00F40195">
            <w:pPr>
              <w:pStyle w:val="ListParagraph"/>
              <w:numPr>
                <w:ilvl w:val="0"/>
                <w:numId w:val="4"/>
              </w:numPr>
              <w:spacing w:after="200"/>
              <w:rPr>
                <w:i/>
                <w:iCs/>
                <w:szCs w:val="24"/>
              </w:rPr>
            </w:pPr>
            <w:r w:rsidRPr="00F40195">
              <w:rPr>
                <w:szCs w:val="24"/>
              </w:rPr>
              <w:t>A full 6-8 week summer program</w:t>
            </w:r>
          </w:p>
          <w:p w:rsidR="006B6B73" w:rsidRPr="00F40195" w:rsidRDefault="006B6B73" w:rsidP="00F40195">
            <w:pPr>
              <w:pStyle w:val="ListParagraph"/>
              <w:numPr>
                <w:ilvl w:val="0"/>
                <w:numId w:val="4"/>
              </w:numPr>
              <w:spacing w:after="200"/>
              <w:rPr>
                <w:szCs w:val="24"/>
              </w:rPr>
            </w:pPr>
            <w:r w:rsidRPr="00F40195">
              <w:rPr>
                <w:szCs w:val="24"/>
              </w:rPr>
              <w:t>A clear focus on mathematics and reading achievement, or failed courses for high school students</w:t>
            </w:r>
          </w:p>
          <w:p w:rsidR="006B6B73" w:rsidRPr="00F40195" w:rsidRDefault="006B6B73" w:rsidP="00F40195">
            <w:pPr>
              <w:pStyle w:val="ListParagraph"/>
              <w:numPr>
                <w:ilvl w:val="0"/>
                <w:numId w:val="4"/>
              </w:numPr>
              <w:spacing w:after="200"/>
              <w:rPr>
                <w:i/>
                <w:iCs/>
                <w:szCs w:val="24"/>
              </w:rPr>
            </w:pPr>
            <w:r w:rsidRPr="00F40195">
              <w:rPr>
                <w:szCs w:val="24"/>
              </w:rPr>
              <w:t>Small-group or individualized instruction</w:t>
            </w:r>
          </w:p>
          <w:p w:rsidR="006B6B73" w:rsidRPr="00F40195" w:rsidRDefault="006B6B73" w:rsidP="00F40195">
            <w:pPr>
              <w:pStyle w:val="ListParagraph"/>
              <w:numPr>
                <w:ilvl w:val="0"/>
                <w:numId w:val="4"/>
              </w:numPr>
              <w:spacing w:after="200"/>
              <w:rPr>
                <w:i/>
                <w:iCs/>
                <w:szCs w:val="24"/>
              </w:rPr>
            </w:pPr>
            <w:r w:rsidRPr="00F40195">
              <w:rPr>
                <w:szCs w:val="24"/>
              </w:rPr>
              <w:t>Parent involvement and participation</w:t>
            </w:r>
          </w:p>
          <w:p w:rsidR="006B6B73" w:rsidRPr="00F40195" w:rsidRDefault="006B6B73" w:rsidP="00F40195">
            <w:pPr>
              <w:pStyle w:val="ListParagraph"/>
              <w:numPr>
                <w:ilvl w:val="0"/>
                <w:numId w:val="4"/>
              </w:numPr>
              <w:spacing w:after="200"/>
              <w:rPr>
                <w:i/>
                <w:iCs/>
                <w:szCs w:val="24"/>
              </w:rPr>
            </w:pPr>
            <w:r w:rsidRPr="00F40195">
              <w:rPr>
                <w:szCs w:val="24"/>
              </w:rPr>
              <w:t>Careful scrutiny for treatment fidelity, including monitoring to ensure good instruction in reading and mathematics is being delivered</w:t>
            </w:r>
          </w:p>
          <w:p w:rsidR="001017AD" w:rsidRPr="00F40195" w:rsidRDefault="006B6B73" w:rsidP="00F40195">
            <w:pPr>
              <w:pStyle w:val="ListParagraph"/>
              <w:numPr>
                <w:ilvl w:val="0"/>
                <w:numId w:val="4"/>
              </w:numPr>
              <w:spacing w:after="200"/>
              <w:rPr>
                <w:i/>
                <w:iCs/>
                <w:szCs w:val="24"/>
              </w:rPr>
            </w:pPr>
            <w:r w:rsidRPr="00F40195">
              <w:rPr>
                <w:szCs w:val="24"/>
              </w:rPr>
              <w:t>Monitoring student attendance</w:t>
            </w:r>
          </w:p>
          <w:p w:rsidR="006B6B73" w:rsidRPr="00F40195" w:rsidRDefault="006B6B73" w:rsidP="00F40195">
            <w:pPr>
              <w:spacing w:after="200"/>
              <w:rPr>
                <w:szCs w:val="24"/>
              </w:rPr>
            </w:pPr>
            <w:r w:rsidRPr="00F40195">
              <w:rPr>
                <w:szCs w:val="24"/>
              </w:rPr>
              <w:t>Summer programs that include these elements hold promise for improving the achievement of at-risk students and closing the achievement gap.</w:t>
            </w:r>
          </w:p>
          <w:p w:rsidR="00DE6596" w:rsidRPr="00AC576B" w:rsidRDefault="00066491" w:rsidP="00AC576B">
            <w:pPr>
              <w:spacing w:after="200"/>
              <w:rPr>
                <w:szCs w:val="24"/>
              </w:rPr>
            </w:pPr>
            <w:r w:rsidRPr="00F40195">
              <w:rPr>
                <w:szCs w:val="24"/>
              </w:rPr>
              <w:t>T</w:t>
            </w:r>
            <w:r w:rsidR="006B6B73" w:rsidRPr="00F40195">
              <w:rPr>
                <w:szCs w:val="24"/>
              </w:rPr>
              <w:t xml:space="preserve">he effects of summer school are largest for elementary students when the programs emphasize reading and </w:t>
            </w:r>
            <w:r w:rsidR="00BA4639" w:rsidRPr="00F40195">
              <w:rPr>
                <w:szCs w:val="24"/>
              </w:rPr>
              <w:t>mathematics</w:t>
            </w:r>
            <w:r w:rsidR="006B6B73" w:rsidRPr="00F40195">
              <w:rPr>
                <w:szCs w:val="24"/>
              </w:rPr>
              <w:t xml:space="preserve"> and for high school students when programs focus on courses students failed during the school year</w:t>
            </w:r>
            <w:r w:rsidR="009739FE" w:rsidRPr="00F40195">
              <w:rPr>
                <w:szCs w:val="24"/>
              </w:rPr>
              <w:t xml:space="preserve">. </w:t>
            </w:r>
            <w:r w:rsidR="006B6B73" w:rsidRPr="00F40195">
              <w:rPr>
                <w:szCs w:val="24"/>
              </w:rPr>
              <w:t>The more modest effects frequently found in middle school programs can be partially explained by the emphasis in many middle school summer school programs on adolescent development and self-</w:t>
            </w:r>
            <w:r w:rsidR="00AC576B">
              <w:rPr>
                <w:szCs w:val="24"/>
              </w:rPr>
              <w:t>efficacy, rather than academics</w:t>
            </w:r>
          </w:p>
        </w:tc>
      </w:tr>
    </w:tbl>
    <w:p w:rsidR="0066654C" w:rsidRDefault="0066654C">
      <w:pPr>
        <w:rPr>
          <w:rFonts w:eastAsiaTheme="majorEastAsia" w:cs="Times New Roman"/>
          <w:b/>
          <w:bCs/>
          <w:szCs w:val="24"/>
        </w:rPr>
      </w:pPr>
      <w:bookmarkStart w:id="99" w:name="_Toc47974483"/>
      <w:r>
        <w:lastRenderedPageBreak/>
        <w:br w:type="page"/>
      </w:r>
    </w:p>
    <w:p w:rsidR="00935DA5" w:rsidRPr="00F40195" w:rsidRDefault="008028E2" w:rsidP="008D674A">
      <w:pPr>
        <w:pStyle w:val="Heading3"/>
      </w:pPr>
      <w:bookmarkStart w:id="100" w:name="_Toc395180689"/>
      <w:r w:rsidRPr="00F40195">
        <w:lastRenderedPageBreak/>
        <w:t xml:space="preserve">C.11 </w:t>
      </w:r>
      <w:r w:rsidR="00F172AC" w:rsidRPr="00F40195">
        <w:t>Exceptional Children (</w:t>
      </w:r>
      <w:r w:rsidRPr="00F40195">
        <w:t>Students with Disabilities</w:t>
      </w:r>
      <w:r w:rsidR="00F172AC" w:rsidRPr="00F40195">
        <w:t>)</w:t>
      </w:r>
      <w:bookmarkEnd w:id="100"/>
    </w:p>
    <w:tbl>
      <w:tblPr>
        <w:tblStyle w:val="TableGrid"/>
        <w:tblW w:w="0" w:type="auto"/>
        <w:tblLook w:val="04A0" w:firstRow="1" w:lastRow="0" w:firstColumn="1" w:lastColumn="0" w:noHBand="0" w:noVBand="1"/>
      </w:tblPr>
      <w:tblGrid>
        <w:gridCol w:w="4788"/>
        <w:gridCol w:w="4788"/>
      </w:tblGrid>
      <w:tr w:rsidR="00935DA5" w:rsidRPr="00F40195" w:rsidTr="00246694">
        <w:tc>
          <w:tcPr>
            <w:tcW w:w="4788" w:type="dxa"/>
            <w:shd w:val="clear" w:color="auto" w:fill="C6D9F1" w:themeFill="text2" w:themeFillTint="33"/>
          </w:tcPr>
          <w:p w:rsidR="00935DA5" w:rsidRPr="00F40195" w:rsidRDefault="00935DA5" w:rsidP="00F40195">
            <w:pPr>
              <w:jc w:val="center"/>
              <w:rPr>
                <w:b/>
              </w:rPr>
            </w:pPr>
            <w:r w:rsidRPr="00F40195">
              <w:rPr>
                <w:b/>
              </w:rPr>
              <w:t>Current Kentucky Policy</w:t>
            </w:r>
          </w:p>
        </w:tc>
        <w:tc>
          <w:tcPr>
            <w:tcW w:w="4788" w:type="dxa"/>
            <w:shd w:val="clear" w:color="auto" w:fill="C6D9F1" w:themeFill="text2" w:themeFillTint="33"/>
          </w:tcPr>
          <w:p w:rsidR="00935DA5" w:rsidRPr="00F40195" w:rsidRDefault="00935DA5" w:rsidP="00F40195">
            <w:pPr>
              <w:jc w:val="center"/>
              <w:rPr>
                <w:b/>
              </w:rPr>
            </w:pPr>
            <w:r w:rsidRPr="00F40195">
              <w:rPr>
                <w:b/>
              </w:rPr>
              <w:t>Evidence-Based Model</w:t>
            </w:r>
          </w:p>
        </w:tc>
      </w:tr>
      <w:tr w:rsidR="00935DA5" w:rsidRPr="00F40195" w:rsidTr="00246694">
        <w:tc>
          <w:tcPr>
            <w:tcW w:w="4788" w:type="dxa"/>
          </w:tcPr>
          <w:p w:rsidR="00935DA5" w:rsidRPr="00F40195" w:rsidRDefault="00935DA5" w:rsidP="00F40195">
            <w:pPr>
              <w:rPr>
                <w:szCs w:val="24"/>
              </w:rPr>
            </w:pPr>
            <w:r w:rsidRPr="00F40195">
              <w:rPr>
                <w:i/>
                <w:szCs w:val="24"/>
              </w:rPr>
              <w:t>High Incidence Disability</w:t>
            </w:r>
            <w:r w:rsidRPr="00F40195">
              <w:rPr>
                <w:szCs w:val="24"/>
              </w:rPr>
              <w:t xml:space="preserve"> weight of 0.24 over guaranteed funding level. (Defined as communication disorders of speech or language.)</w:t>
            </w:r>
          </w:p>
          <w:p w:rsidR="00935DA5" w:rsidRPr="00F40195" w:rsidRDefault="00935DA5" w:rsidP="00F40195">
            <w:pPr>
              <w:rPr>
                <w:szCs w:val="24"/>
              </w:rPr>
            </w:pPr>
          </w:p>
          <w:p w:rsidR="00935DA5" w:rsidRPr="00F40195" w:rsidRDefault="00935DA5" w:rsidP="00F40195">
            <w:pPr>
              <w:autoSpaceDE w:val="0"/>
              <w:autoSpaceDN w:val="0"/>
              <w:adjustRightInd w:val="0"/>
              <w:rPr>
                <w:szCs w:val="24"/>
              </w:rPr>
            </w:pPr>
            <w:r w:rsidRPr="00F40195">
              <w:rPr>
                <w:i/>
                <w:szCs w:val="24"/>
              </w:rPr>
              <w:t>Moderate Incidence Disability</w:t>
            </w:r>
            <w:r w:rsidRPr="00F40195">
              <w:rPr>
                <w:szCs w:val="24"/>
              </w:rPr>
              <w:t xml:space="preserve"> weight of 1.17 over guaranteed funding level. (Defined as mild mental disability, orthopedic impairment or physically disabled, other health impaired, specific learning disabilities, and developmental delay.)</w:t>
            </w:r>
          </w:p>
          <w:p w:rsidR="00935DA5" w:rsidRPr="00F40195" w:rsidRDefault="00935DA5" w:rsidP="00F40195">
            <w:pPr>
              <w:rPr>
                <w:szCs w:val="24"/>
              </w:rPr>
            </w:pPr>
          </w:p>
          <w:p w:rsidR="00935DA5" w:rsidRPr="00F40195" w:rsidRDefault="00935DA5" w:rsidP="00F40195">
            <w:pPr>
              <w:autoSpaceDE w:val="0"/>
              <w:autoSpaceDN w:val="0"/>
              <w:adjustRightInd w:val="0"/>
              <w:rPr>
                <w:szCs w:val="24"/>
              </w:rPr>
            </w:pPr>
            <w:r w:rsidRPr="00F40195">
              <w:rPr>
                <w:i/>
                <w:szCs w:val="24"/>
              </w:rPr>
              <w:t>Low Incidence Disability</w:t>
            </w:r>
            <w:r w:rsidRPr="00F40195">
              <w:rPr>
                <w:szCs w:val="24"/>
              </w:rPr>
              <w:t xml:space="preserve"> weight of 2.35 over guaranteed funding level. (Defined as functional mental disability, hearing impairment, emotional-behavioral disability, </w:t>
            </w:r>
            <w:proofErr w:type="gramStart"/>
            <w:r w:rsidRPr="00F40195">
              <w:rPr>
                <w:szCs w:val="24"/>
              </w:rPr>
              <w:t>visual</w:t>
            </w:r>
            <w:proofErr w:type="gramEnd"/>
            <w:r w:rsidRPr="00F40195">
              <w:rPr>
                <w:szCs w:val="24"/>
              </w:rPr>
              <w:t xml:space="preserve"> impairment, multiple disabilities, deaf-blind, autism, and traumatic brain injury.)</w:t>
            </w:r>
          </w:p>
          <w:p w:rsidR="00935DA5" w:rsidRPr="00F40195" w:rsidRDefault="00935DA5" w:rsidP="00F40195">
            <w:pPr>
              <w:rPr>
                <w:szCs w:val="24"/>
              </w:rPr>
            </w:pPr>
          </w:p>
          <w:p w:rsidR="00935DA5" w:rsidRPr="00F40195" w:rsidRDefault="00935DA5" w:rsidP="00F40195">
            <w:pPr>
              <w:autoSpaceDE w:val="0"/>
              <w:autoSpaceDN w:val="0"/>
              <w:adjustRightInd w:val="0"/>
              <w:rPr>
                <w:bCs/>
                <w:szCs w:val="24"/>
              </w:rPr>
            </w:pPr>
            <w:r w:rsidRPr="00F40195">
              <w:rPr>
                <w:bCs/>
                <w:i/>
                <w:szCs w:val="24"/>
              </w:rPr>
              <w:t>Home and Hospital Funding</w:t>
            </w:r>
            <w:r w:rsidRPr="00F40195">
              <w:rPr>
                <w:bCs/>
                <w:szCs w:val="24"/>
              </w:rPr>
              <w:t>:</w:t>
            </w:r>
            <w:r w:rsidRPr="00F40195">
              <w:rPr>
                <w:b/>
                <w:bCs/>
                <w:szCs w:val="24"/>
              </w:rPr>
              <w:t xml:space="preserve">  </w:t>
            </w:r>
            <w:r w:rsidRPr="00F40195">
              <w:rPr>
                <w:bCs/>
                <w:szCs w:val="24"/>
              </w:rPr>
              <w:t>Students qualifying for Home and Hospital have an additional 1.0 weight over guaranteed funding, less the capital outlay allotment of $100.</w:t>
            </w:r>
          </w:p>
          <w:p w:rsidR="00935DA5" w:rsidRPr="00F40195" w:rsidRDefault="00935DA5" w:rsidP="00F40195">
            <w:pPr>
              <w:rPr>
                <w:b/>
              </w:rPr>
            </w:pPr>
          </w:p>
        </w:tc>
        <w:tc>
          <w:tcPr>
            <w:tcW w:w="4788" w:type="dxa"/>
          </w:tcPr>
          <w:p w:rsidR="00935DA5" w:rsidRPr="00F40195" w:rsidRDefault="00935DA5" w:rsidP="00F40195">
            <w:pPr>
              <w:rPr>
                <w:szCs w:val="24"/>
              </w:rPr>
            </w:pPr>
            <w:r w:rsidRPr="00F40195">
              <w:rPr>
                <w:szCs w:val="24"/>
              </w:rPr>
              <w:t xml:space="preserve">A census approach to funding special education services for disabled students in the high incidence/lower cost categories. One (1.0) teacher and </w:t>
            </w:r>
            <w:r w:rsidR="00C364C1" w:rsidRPr="00F40195">
              <w:rPr>
                <w:szCs w:val="24"/>
              </w:rPr>
              <w:t>1.0</w:t>
            </w:r>
            <w:r w:rsidRPr="00F40195">
              <w:rPr>
                <w:szCs w:val="24"/>
              </w:rPr>
              <w:t xml:space="preserve"> aide positions for every 150 regular </w:t>
            </w:r>
            <w:r w:rsidR="00AB000B" w:rsidRPr="00F40195">
              <w:rPr>
                <w:szCs w:val="24"/>
              </w:rPr>
              <w:t xml:space="preserve">education </w:t>
            </w:r>
            <w:r w:rsidRPr="00F40195">
              <w:rPr>
                <w:szCs w:val="24"/>
              </w:rPr>
              <w:t xml:space="preserve">students. This results in </w:t>
            </w:r>
            <w:r w:rsidR="00323802" w:rsidRPr="00F40195">
              <w:rPr>
                <w:szCs w:val="24"/>
              </w:rPr>
              <w:t xml:space="preserve">3 </w:t>
            </w:r>
            <w:r w:rsidRPr="00F40195">
              <w:rPr>
                <w:szCs w:val="24"/>
              </w:rPr>
              <w:t xml:space="preserve">teachers and </w:t>
            </w:r>
            <w:r w:rsidR="00C364C1" w:rsidRPr="00F40195">
              <w:rPr>
                <w:szCs w:val="24"/>
              </w:rPr>
              <w:t>3</w:t>
            </w:r>
            <w:r w:rsidRPr="00F40195">
              <w:rPr>
                <w:szCs w:val="24"/>
              </w:rPr>
              <w:t xml:space="preserve"> aide positions for each of the 450-student prototypical elementary and middle school, and 4 teachers and </w:t>
            </w:r>
            <w:r w:rsidR="00C364C1" w:rsidRPr="00F40195">
              <w:rPr>
                <w:szCs w:val="24"/>
              </w:rPr>
              <w:t>4</w:t>
            </w:r>
            <w:r w:rsidR="00AB000B" w:rsidRPr="00F40195">
              <w:rPr>
                <w:szCs w:val="24"/>
              </w:rPr>
              <w:t xml:space="preserve"> </w:t>
            </w:r>
            <w:r w:rsidRPr="00F40195">
              <w:rPr>
                <w:szCs w:val="24"/>
              </w:rPr>
              <w:t>aide positions for the 600-student prototypical high school.</w:t>
            </w:r>
            <w:r w:rsidR="00523383">
              <w:rPr>
                <w:szCs w:val="24"/>
              </w:rPr>
              <w:t xml:space="preserve"> This census approach provides resourc</w:t>
            </w:r>
            <w:r w:rsidR="00357628">
              <w:rPr>
                <w:szCs w:val="24"/>
              </w:rPr>
              <w:t>e</w:t>
            </w:r>
            <w:r w:rsidR="00523383">
              <w:rPr>
                <w:szCs w:val="24"/>
              </w:rPr>
              <w:t xml:space="preserve">s for </w:t>
            </w:r>
            <w:r w:rsidR="008D48B9">
              <w:rPr>
                <w:szCs w:val="24"/>
              </w:rPr>
              <w:t xml:space="preserve">high </w:t>
            </w:r>
            <w:r w:rsidR="00523383">
              <w:rPr>
                <w:szCs w:val="24"/>
              </w:rPr>
              <w:t>and moderate incidence disabilities.</w:t>
            </w:r>
          </w:p>
          <w:p w:rsidR="00935DA5" w:rsidRPr="00F40195" w:rsidRDefault="00935DA5" w:rsidP="00F40195">
            <w:pPr>
              <w:rPr>
                <w:szCs w:val="24"/>
              </w:rPr>
            </w:pPr>
          </w:p>
          <w:p w:rsidR="00935DA5" w:rsidRPr="00F40195" w:rsidRDefault="00935DA5" w:rsidP="00F40195">
            <w:pPr>
              <w:rPr>
                <w:szCs w:val="24"/>
              </w:rPr>
            </w:pPr>
            <w:r w:rsidRPr="00F40195">
              <w:rPr>
                <w:szCs w:val="24"/>
              </w:rPr>
              <w:t xml:space="preserve">The EB Model includes the state reimbursing districts for 100 percent of the costs for the </w:t>
            </w:r>
            <w:r w:rsidR="008D48B9">
              <w:rPr>
                <w:szCs w:val="24"/>
              </w:rPr>
              <w:t xml:space="preserve">low incidence students with </w:t>
            </w:r>
            <w:r w:rsidRPr="00F40195">
              <w:rPr>
                <w:szCs w:val="24"/>
              </w:rPr>
              <w:t>severe</w:t>
            </w:r>
            <w:r w:rsidR="008D48B9">
              <w:rPr>
                <w:szCs w:val="24"/>
              </w:rPr>
              <w:t xml:space="preserve"> and profound</w:t>
            </w:r>
            <w:r w:rsidRPr="00F40195">
              <w:rPr>
                <w:szCs w:val="24"/>
              </w:rPr>
              <w:t xml:space="preserve"> </w:t>
            </w:r>
            <w:r w:rsidR="00331B32" w:rsidRPr="00F40195">
              <w:rPr>
                <w:szCs w:val="24"/>
              </w:rPr>
              <w:t>disab</w:t>
            </w:r>
            <w:r w:rsidR="00331B32">
              <w:rPr>
                <w:szCs w:val="24"/>
              </w:rPr>
              <w:t>ilities</w:t>
            </w:r>
            <w:r w:rsidRPr="00F40195">
              <w:rPr>
                <w:szCs w:val="24"/>
              </w:rPr>
              <w:t>, minus Federal Title VIb funds for such students</w:t>
            </w:r>
            <w:r w:rsidR="009739FE" w:rsidRPr="00F40195">
              <w:rPr>
                <w:szCs w:val="24"/>
              </w:rPr>
              <w:t>.</w:t>
            </w:r>
          </w:p>
          <w:p w:rsidR="00935DA5" w:rsidRPr="00F40195" w:rsidRDefault="00935DA5" w:rsidP="00F40195"/>
        </w:tc>
      </w:tr>
      <w:tr w:rsidR="00935DA5" w:rsidRPr="00F40195" w:rsidTr="00246694">
        <w:tc>
          <w:tcPr>
            <w:tcW w:w="4788" w:type="dxa"/>
          </w:tcPr>
          <w:p w:rsidR="00935DA5" w:rsidRPr="00F40195" w:rsidRDefault="00935DA5" w:rsidP="00F40195">
            <w:pPr>
              <w:rPr>
                <w:szCs w:val="24"/>
              </w:rPr>
            </w:pPr>
            <w:r w:rsidRPr="00F40195">
              <w:rPr>
                <w:b/>
              </w:rPr>
              <w:t>Stakeholder Panel Recommendation</w:t>
            </w:r>
          </w:p>
        </w:tc>
        <w:tc>
          <w:tcPr>
            <w:tcW w:w="4788" w:type="dxa"/>
          </w:tcPr>
          <w:p w:rsidR="00935DA5" w:rsidRPr="00F40195" w:rsidRDefault="00935DA5" w:rsidP="00F40195">
            <w:pPr>
              <w:rPr>
                <w:szCs w:val="24"/>
              </w:rPr>
            </w:pPr>
            <w:r w:rsidRPr="00F40195">
              <w:rPr>
                <w:b/>
              </w:rPr>
              <w:t>Advisory Committee Recommendation</w:t>
            </w:r>
          </w:p>
        </w:tc>
      </w:tr>
      <w:tr w:rsidR="00935DA5" w:rsidRPr="00F40195" w:rsidTr="00246694">
        <w:tc>
          <w:tcPr>
            <w:tcW w:w="4788" w:type="dxa"/>
          </w:tcPr>
          <w:p w:rsidR="00935DA5" w:rsidRPr="00F40195" w:rsidRDefault="009E3CB4" w:rsidP="00844962">
            <w:pPr>
              <w:pStyle w:val="Default"/>
            </w:pPr>
            <w:r w:rsidRPr="00F40195">
              <w:rPr>
                <w:rFonts w:eastAsiaTheme="minorHAnsi"/>
                <w:szCs w:val="22"/>
              </w:rPr>
              <w:t>Same as EB Model with particular support for 100 percent state coverage for severe disabilities.</w:t>
            </w:r>
          </w:p>
        </w:tc>
        <w:tc>
          <w:tcPr>
            <w:tcW w:w="4788" w:type="dxa"/>
          </w:tcPr>
          <w:p w:rsidR="00935DA5" w:rsidRPr="00F40195" w:rsidRDefault="009E3CB4" w:rsidP="00844962">
            <w:pPr>
              <w:pStyle w:val="Default"/>
            </w:pPr>
            <w:r w:rsidRPr="00F40195">
              <w:rPr>
                <w:rFonts w:eastAsiaTheme="minorHAnsi"/>
                <w:szCs w:val="22"/>
              </w:rPr>
              <w:t>Same as EB Model with particular support for 100 percent state coverage for severe disabilities.</w:t>
            </w:r>
          </w:p>
        </w:tc>
      </w:tr>
      <w:tr w:rsidR="00935DA5" w:rsidRPr="00F40195" w:rsidTr="00246694">
        <w:tc>
          <w:tcPr>
            <w:tcW w:w="9576" w:type="dxa"/>
            <w:gridSpan w:val="2"/>
            <w:shd w:val="clear" w:color="auto" w:fill="C6D9F1" w:themeFill="text2" w:themeFillTint="33"/>
          </w:tcPr>
          <w:p w:rsidR="00935DA5" w:rsidRPr="00F40195" w:rsidRDefault="00935DA5" w:rsidP="00F40195">
            <w:pPr>
              <w:jc w:val="center"/>
              <w:rPr>
                <w:b/>
              </w:rPr>
            </w:pPr>
            <w:r w:rsidRPr="00F40195">
              <w:rPr>
                <w:b/>
              </w:rPr>
              <w:t>Analysis and Evidence</w:t>
            </w:r>
          </w:p>
        </w:tc>
      </w:tr>
      <w:tr w:rsidR="00935DA5" w:rsidRPr="00F40195" w:rsidTr="00246694">
        <w:tc>
          <w:tcPr>
            <w:tcW w:w="9576" w:type="dxa"/>
            <w:gridSpan w:val="2"/>
          </w:tcPr>
          <w:p w:rsidR="00246694" w:rsidRPr="00F40195" w:rsidRDefault="00246694" w:rsidP="00F40195">
            <w:pPr>
              <w:rPr>
                <w:szCs w:val="24"/>
              </w:rPr>
            </w:pPr>
            <w:r w:rsidRPr="00F40195">
              <w:rPr>
                <w:szCs w:val="24"/>
              </w:rPr>
              <w:t>Providing appropriate education services for students with disabilities, while containing costs and avoiding over-identification of students, particularly minority students, presents several challenges (see Levenson, 2012)</w:t>
            </w:r>
            <w:r w:rsidR="009739FE" w:rsidRPr="00F40195">
              <w:rPr>
                <w:szCs w:val="24"/>
              </w:rPr>
              <w:t xml:space="preserve">. </w:t>
            </w:r>
            <w:r w:rsidRPr="00F40195">
              <w:rPr>
                <w:szCs w:val="24"/>
              </w:rPr>
              <w:t>Many mild and moderate disabilities, particularly those associated with students learning to read, are correctable through strategic early intervention, including the kinds of effective core instruction and targeted intervention programs, particularly one-to-one tutoring, discussed above</w:t>
            </w:r>
            <w:r w:rsidR="009739FE" w:rsidRPr="00F40195">
              <w:rPr>
                <w:szCs w:val="24"/>
              </w:rPr>
              <w:t xml:space="preserve">. </w:t>
            </w:r>
          </w:p>
          <w:p w:rsidR="00246694" w:rsidRPr="00F40195" w:rsidRDefault="00246694" w:rsidP="00F40195">
            <w:pPr>
              <w:rPr>
                <w:szCs w:val="24"/>
              </w:rPr>
            </w:pPr>
          </w:p>
          <w:p w:rsidR="00246694" w:rsidRPr="00F40195" w:rsidRDefault="00246694" w:rsidP="00F40195">
            <w:pPr>
              <w:rPr>
                <w:szCs w:val="24"/>
              </w:rPr>
            </w:pPr>
            <w:r w:rsidRPr="00F40195">
              <w:rPr>
                <w:szCs w:val="24"/>
              </w:rPr>
              <w:t>For example, several studies (e.g., Landry, 1999) have documented that through a series of intensive instructional interventions nearly 75 percent of struggling readers identified in kindergarten and first grade can be brought up to grade level without the need for placement in special education</w:t>
            </w:r>
            <w:r w:rsidR="009739FE" w:rsidRPr="00F40195">
              <w:rPr>
                <w:szCs w:val="24"/>
              </w:rPr>
              <w:t xml:space="preserve">. </w:t>
            </w:r>
            <w:r w:rsidRPr="00F40195">
              <w:rPr>
                <w:szCs w:val="24"/>
              </w:rPr>
              <w:t xml:space="preserve">Other studies have noted decreases in disability labeling of up to 50 percent (see for example, Levenson, 2011; Madden, Slavin, Karweit, Dolan &amp; Wasik, 1993; Slavin, </w:t>
            </w:r>
            <w:r w:rsidRPr="00F40195">
              <w:rPr>
                <w:szCs w:val="24"/>
              </w:rPr>
              <w:lastRenderedPageBreak/>
              <w:t>1996) with interventions of this type.</w:t>
            </w:r>
          </w:p>
          <w:p w:rsidR="00246694" w:rsidRPr="00F40195" w:rsidRDefault="00246694" w:rsidP="00F40195">
            <w:pPr>
              <w:rPr>
                <w:szCs w:val="24"/>
              </w:rPr>
            </w:pPr>
          </w:p>
          <w:p w:rsidR="00246694" w:rsidRPr="00F40195" w:rsidRDefault="00246694" w:rsidP="00F40195">
            <w:pPr>
              <w:rPr>
                <w:szCs w:val="24"/>
              </w:rPr>
            </w:pPr>
            <w:r w:rsidRPr="00F40195">
              <w:rPr>
                <w:szCs w:val="24"/>
              </w:rPr>
              <w:t>In many instances this approach requires school-level staff to change their practice and cease functioning in “silos” that serve children in “pull-out” programs identified by funding source for the staff member providing the services (e.g. General Fund, Special Education, Title I)</w:t>
            </w:r>
            <w:r w:rsidR="009739FE" w:rsidRPr="00F40195">
              <w:rPr>
                <w:szCs w:val="24"/>
              </w:rPr>
              <w:t xml:space="preserve">. </w:t>
            </w:r>
            <w:r w:rsidRPr="00F40195">
              <w:rPr>
                <w:szCs w:val="24"/>
              </w:rPr>
              <w:t>Instead, all staff would team closely with the regular classroom teacher to identify deficits and work together to correct them as quickly as possible</w:t>
            </w:r>
            <w:r w:rsidR="009739FE" w:rsidRPr="00F40195">
              <w:rPr>
                <w:szCs w:val="24"/>
              </w:rPr>
              <w:t xml:space="preserve">. </w:t>
            </w:r>
            <w:r w:rsidRPr="00F40195">
              <w:rPr>
                <w:szCs w:val="24"/>
              </w:rPr>
              <w:t>This is a common sense approach that could be second nature in schools, but in many cases schools have heretofore been rooted in a “categorical culture” that must be corrected through professional development and strong leadership from the district office and the site principal.</w:t>
            </w:r>
          </w:p>
          <w:p w:rsidR="00246694" w:rsidRPr="00F40195" w:rsidRDefault="00246694" w:rsidP="00F40195">
            <w:pPr>
              <w:rPr>
                <w:szCs w:val="24"/>
              </w:rPr>
            </w:pPr>
          </w:p>
          <w:p w:rsidR="00246694" w:rsidRPr="00F40195" w:rsidRDefault="00246694" w:rsidP="00F40195">
            <w:pPr>
              <w:rPr>
                <w:szCs w:val="24"/>
              </w:rPr>
            </w:pPr>
            <w:r w:rsidRPr="00F40195">
              <w:rPr>
                <w:szCs w:val="24"/>
              </w:rPr>
              <w:t xml:space="preserve">Allocating a fixed census level of staffing (3.0 FTE teachers and </w:t>
            </w:r>
            <w:r w:rsidR="00323802" w:rsidRPr="00F40195">
              <w:rPr>
                <w:szCs w:val="24"/>
              </w:rPr>
              <w:t>3.0</w:t>
            </w:r>
            <w:r w:rsidRPr="00F40195">
              <w:rPr>
                <w:szCs w:val="24"/>
              </w:rPr>
              <w:t xml:space="preserve"> FTE aides) for an elementary school of 450 students) can meet the needs of children with mild and moderate disabilities if a functional, collaborative early intervention model such as the one outlined above can be implemented</w:t>
            </w:r>
            <w:r w:rsidR="009739FE" w:rsidRPr="00F40195">
              <w:rPr>
                <w:szCs w:val="24"/>
              </w:rPr>
              <w:t xml:space="preserve">. </w:t>
            </w:r>
            <w:r w:rsidRPr="00F40195">
              <w:rPr>
                <w:szCs w:val="24"/>
              </w:rPr>
              <w:t>We note that our staffing for the preceding programs for at-risk students meets this requirement – tutoring, ext</w:t>
            </w:r>
            <w:r w:rsidR="0065113F" w:rsidRPr="00F40195">
              <w:rPr>
                <w:szCs w:val="24"/>
              </w:rPr>
              <w:t xml:space="preserve">ended day, summer school and </w:t>
            </w:r>
            <w:r w:rsidR="009E3CB4" w:rsidRPr="00F40195">
              <w:rPr>
                <w:szCs w:val="24"/>
              </w:rPr>
              <w:t>EL</w:t>
            </w:r>
            <w:r w:rsidRPr="00F40195">
              <w:rPr>
                <w:szCs w:val="24"/>
              </w:rPr>
              <w:t>.</w:t>
            </w:r>
          </w:p>
          <w:p w:rsidR="00246694" w:rsidRPr="00F40195" w:rsidRDefault="00246694" w:rsidP="00F40195">
            <w:pPr>
              <w:rPr>
                <w:szCs w:val="24"/>
              </w:rPr>
            </w:pPr>
          </w:p>
          <w:p w:rsidR="00246694" w:rsidRPr="00F40195" w:rsidRDefault="00246694" w:rsidP="00F40195">
            <w:pPr>
              <w:rPr>
                <w:szCs w:val="24"/>
              </w:rPr>
            </w:pPr>
            <w:r w:rsidRPr="00F40195">
              <w:rPr>
                <w:szCs w:val="24"/>
              </w:rPr>
              <w:t>For children with more severe disabilities, clustering them in specific schools to achieve economies of scale is generally the most effective strategy and provides the greatest opportunity to find ways to mainstream them (to the extent feasible) with regular education students</w:t>
            </w:r>
            <w:r w:rsidR="009739FE" w:rsidRPr="00F40195">
              <w:rPr>
                <w:szCs w:val="24"/>
              </w:rPr>
              <w:t xml:space="preserve">. </w:t>
            </w:r>
            <w:r w:rsidRPr="00F40195">
              <w:rPr>
                <w:szCs w:val="24"/>
              </w:rPr>
              <w:t>In very sparsely populated areas this is often not feasible but should be explored</w:t>
            </w:r>
            <w:r w:rsidR="009739FE" w:rsidRPr="00F40195">
              <w:rPr>
                <w:szCs w:val="24"/>
              </w:rPr>
              <w:t xml:space="preserve">. </w:t>
            </w:r>
            <w:r w:rsidRPr="00F40195">
              <w:rPr>
                <w:szCs w:val="24"/>
              </w:rPr>
              <w:t xml:space="preserve">Students in these categories generally include: severely emotionally disturbed (ED); severely mentally and/or physically handicapped; and children within the spectrum of autism. The </w:t>
            </w:r>
            <w:r w:rsidR="0065113F" w:rsidRPr="00F40195">
              <w:rPr>
                <w:szCs w:val="24"/>
              </w:rPr>
              <w:t>FRPL</w:t>
            </w:r>
            <w:r w:rsidRPr="00F40195">
              <w:rPr>
                <w:szCs w:val="24"/>
              </w:rPr>
              <w:t xml:space="preserve"> and autism populations have been increasing dramatically across the country, and it is likely that this trend will continue in the future</w:t>
            </w:r>
            <w:r w:rsidR="009739FE" w:rsidRPr="00F40195">
              <w:rPr>
                <w:szCs w:val="24"/>
              </w:rPr>
              <w:t xml:space="preserve">. </w:t>
            </w:r>
            <w:r w:rsidRPr="00F40195">
              <w:rPr>
                <w:szCs w:val="24"/>
              </w:rPr>
              <w:t>To make the provision of services to th</w:t>
            </w:r>
            <w:r w:rsidR="0065113F" w:rsidRPr="00F40195">
              <w:rPr>
                <w:szCs w:val="24"/>
              </w:rPr>
              <w:t xml:space="preserve">ese children cost-effective it </w:t>
            </w:r>
            <w:r w:rsidRPr="00F40195">
              <w:rPr>
                <w:szCs w:val="24"/>
              </w:rPr>
              <w:t>makes sense to explore clustering of services where possible and design cost parameters for clustered services in each category</w:t>
            </w:r>
            <w:r w:rsidR="009739FE" w:rsidRPr="00F40195">
              <w:rPr>
                <w:szCs w:val="24"/>
              </w:rPr>
              <w:t xml:space="preserve">. </w:t>
            </w:r>
            <w:r w:rsidRPr="00F40195">
              <w:rPr>
                <w:szCs w:val="24"/>
              </w:rPr>
              <w:t>In cases where students need to be served individually or in groups of two or three because of geographic isolation it would be helpful to cost out service models for those configurations as well but provide full state funding for those children</w:t>
            </w:r>
            <w:r w:rsidR="009739FE" w:rsidRPr="00F40195">
              <w:rPr>
                <w:szCs w:val="24"/>
              </w:rPr>
              <w:t xml:space="preserve">. </w:t>
            </w:r>
            <w:r w:rsidRPr="00F40195">
              <w:rPr>
                <w:szCs w:val="24"/>
              </w:rPr>
              <w:t>This would reduce the likelihood of overwhelming the financial capacity of a small school district that happens to be the home of a child with a severe disability.</w:t>
            </w:r>
          </w:p>
          <w:p w:rsidR="00246694" w:rsidRPr="00F40195" w:rsidRDefault="00246694" w:rsidP="00F40195">
            <w:pPr>
              <w:rPr>
                <w:szCs w:val="24"/>
              </w:rPr>
            </w:pPr>
          </w:p>
          <w:p w:rsidR="00246694" w:rsidRPr="00F40195" w:rsidRDefault="00246694" w:rsidP="00F40195">
            <w:pPr>
              <w:rPr>
                <w:szCs w:val="24"/>
              </w:rPr>
            </w:pPr>
            <w:r w:rsidRPr="00F40195">
              <w:rPr>
                <w:szCs w:val="24"/>
              </w:rPr>
              <w:t>To implement these approaches to services for students with disabilities, states have begun to fund special education services using the “census” approach</w:t>
            </w:r>
            <w:r w:rsidR="009739FE" w:rsidRPr="00F40195">
              <w:rPr>
                <w:szCs w:val="24"/>
              </w:rPr>
              <w:t xml:space="preserve">. </w:t>
            </w:r>
            <w:r w:rsidRPr="00F40195">
              <w:rPr>
                <w:szCs w:val="24"/>
              </w:rPr>
              <w:t xml:space="preserve"> The census approach, which can be simply funded by providing additional teacher resources for prototypical schools, assumes the incidence of these categories of disabilities is approximately equal across districts and schools and includes resources for providing needed services at an equal rate for all schools and districts</w:t>
            </w:r>
            <w:r w:rsidR="009739FE" w:rsidRPr="00F40195">
              <w:rPr>
                <w:szCs w:val="24"/>
              </w:rPr>
              <w:t xml:space="preserve">. </w:t>
            </w:r>
            <w:r w:rsidRPr="00F40195">
              <w:rPr>
                <w:szCs w:val="24"/>
              </w:rPr>
              <w:t>The census approach has emerged across the country for several reasons:</w:t>
            </w:r>
          </w:p>
          <w:p w:rsidR="00246694" w:rsidRPr="00F40195" w:rsidRDefault="00246694" w:rsidP="00F40195">
            <w:pPr>
              <w:pStyle w:val="ListParagraph"/>
              <w:numPr>
                <w:ilvl w:val="0"/>
                <w:numId w:val="6"/>
              </w:numPr>
              <w:rPr>
                <w:szCs w:val="24"/>
              </w:rPr>
            </w:pPr>
            <w:r w:rsidRPr="00F40195">
              <w:rPr>
                <w:szCs w:val="24"/>
              </w:rPr>
              <w:t>The continued rise in the number and percentage of “learning disabled” and continued questioning by some of the validity of these numbers</w:t>
            </w:r>
          </w:p>
          <w:p w:rsidR="00246694" w:rsidRPr="00F40195" w:rsidRDefault="00246694" w:rsidP="00F40195">
            <w:pPr>
              <w:pStyle w:val="ListParagraph"/>
              <w:numPr>
                <w:ilvl w:val="0"/>
                <w:numId w:val="6"/>
              </w:numPr>
              <w:rPr>
                <w:szCs w:val="24"/>
              </w:rPr>
            </w:pPr>
            <w:r w:rsidRPr="00F40195">
              <w:rPr>
                <w:szCs w:val="24"/>
              </w:rPr>
              <w:t>Under-funding of the costs of severely disabled students</w:t>
            </w:r>
          </w:p>
          <w:p w:rsidR="00246694" w:rsidRPr="00F40195" w:rsidRDefault="00246694" w:rsidP="00F40195">
            <w:pPr>
              <w:pStyle w:val="ListParagraph"/>
              <w:numPr>
                <w:ilvl w:val="0"/>
                <w:numId w:val="6"/>
              </w:numPr>
              <w:rPr>
                <w:szCs w:val="24"/>
              </w:rPr>
            </w:pPr>
            <w:r w:rsidRPr="00F40195">
              <w:rPr>
                <w:szCs w:val="24"/>
              </w:rPr>
              <w:t>Over lab</w:t>
            </w:r>
            <w:r w:rsidR="0065113F" w:rsidRPr="00F40195">
              <w:rPr>
                <w:szCs w:val="24"/>
              </w:rPr>
              <w:t xml:space="preserve">eling of poor, minority, and </w:t>
            </w:r>
            <w:r w:rsidR="00603132" w:rsidRPr="00F40195">
              <w:rPr>
                <w:szCs w:val="24"/>
              </w:rPr>
              <w:t xml:space="preserve">EL </w:t>
            </w:r>
            <w:r w:rsidRPr="00F40195">
              <w:rPr>
                <w:szCs w:val="24"/>
              </w:rPr>
              <w:t>students into special education categories, which often leads to lower curriculum expectations, and inappropriate instructional services</w:t>
            </w:r>
          </w:p>
          <w:p w:rsidR="00246694" w:rsidRPr="00F40195" w:rsidRDefault="00246694" w:rsidP="00F40195">
            <w:pPr>
              <w:pStyle w:val="ListParagraph"/>
              <w:numPr>
                <w:ilvl w:val="0"/>
                <w:numId w:val="6"/>
              </w:numPr>
              <w:rPr>
                <w:szCs w:val="24"/>
              </w:rPr>
            </w:pPr>
            <w:r w:rsidRPr="00F40195">
              <w:rPr>
                <w:szCs w:val="24"/>
              </w:rPr>
              <w:t>Reduction of paper work</w:t>
            </w:r>
          </w:p>
          <w:p w:rsidR="00246694" w:rsidRPr="00F40195" w:rsidRDefault="00246694" w:rsidP="00F40195">
            <w:pPr>
              <w:pStyle w:val="ListParagraph"/>
              <w:rPr>
                <w:rFonts w:eastAsiaTheme="minorHAnsi"/>
                <w:sz w:val="22"/>
                <w:szCs w:val="24"/>
              </w:rPr>
            </w:pPr>
          </w:p>
          <w:p w:rsidR="00246694" w:rsidRPr="00F40195" w:rsidRDefault="00246694" w:rsidP="00F40195">
            <w:pPr>
              <w:rPr>
                <w:szCs w:val="24"/>
              </w:rPr>
            </w:pPr>
            <w:r w:rsidRPr="00F40195">
              <w:rPr>
                <w:szCs w:val="24"/>
              </w:rPr>
              <w:t>Often, the census approach for the high incidence, lower cost students with disabilities is combined with a different strategy for the low-incidence, high-need students, whose costs are funded separately and totally by the state, as these students are not found proportionately in all districts. For example, California approved a census-funding system, in part because many felt the old system created too many fiscal incentives to identify students as needing special education, and in part to improve the equity of the distribution of state aid for special education. Other reasons included the desire to give the local districts more flexibility while holding them accountable, and having a system that was easy to understand.</w:t>
            </w:r>
          </w:p>
          <w:p w:rsidR="00246694" w:rsidRPr="00F40195" w:rsidRDefault="00246694" w:rsidP="00F40195">
            <w:pPr>
              <w:rPr>
                <w:szCs w:val="24"/>
              </w:rPr>
            </w:pPr>
          </w:p>
          <w:p w:rsidR="00935DA5" w:rsidRPr="00F40195" w:rsidRDefault="00246694" w:rsidP="00F40195">
            <w:pPr>
              <w:rPr>
                <w:b/>
              </w:rPr>
            </w:pPr>
            <w:r w:rsidRPr="00F40195">
              <w:rPr>
                <w:szCs w:val="24"/>
              </w:rPr>
              <w:t>Today, diverse states such as Alabama, Arkansas, California, Montana, North Dakota, Pennsylvania, and the New England states of Massachusetts and Vermont all use census-based special-education funding systems</w:t>
            </w:r>
            <w:r w:rsidR="009739FE" w:rsidRPr="00F40195">
              <w:rPr>
                <w:szCs w:val="24"/>
              </w:rPr>
              <w:t xml:space="preserve">. </w:t>
            </w:r>
            <w:r w:rsidRPr="00F40195">
              <w:rPr>
                <w:szCs w:val="24"/>
              </w:rPr>
              <w:t>Moreover, all current and future increases in federal funding for disabled students are to be distributed on a census basis.</w:t>
            </w:r>
          </w:p>
        </w:tc>
      </w:tr>
    </w:tbl>
    <w:p w:rsidR="00935DA5" w:rsidRPr="00F40195" w:rsidRDefault="00935DA5" w:rsidP="008D674A">
      <w:pPr>
        <w:pStyle w:val="Heading3"/>
      </w:pPr>
      <w:bookmarkStart w:id="101" w:name="_Toc395180690"/>
      <w:r w:rsidRPr="00F40195">
        <w:lastRenderedPageBreak/>
        <w:t xml:space="preserve">C.12 </w:t>
      </w:r>
      <w:r w:rsidR="00603132" w:rsidRPr="00F40195">
        <w:t>English Learners</w:t>
      </w:r>
      <w:bookmarkEnd w:id="101"/>
      <w:r w:rsidRPr="00F40195">
        <w:t xml:space="preserve"> </w:t>
      </w:r>
    </w:p>
    <w:tbl>
      <w:tblPr>
        <w:tblStyle w:val="TableGrid"/>
        <w:tblW w:w="0" w:type="auto"/>
        <w:tblLook w:val="04A0" w:firstRow="1" w:lastRow="0" w:firstColumn="1" w:lastColumn="0" w:noHBand="0" w:noVBand="1"/>
      </w:tblPr>
      <w:tblGrid>
        <w:gridCol w:w="4788"/>
        <w:gridCol w:w="4788"/>
      </w:tblGrid>
      <w:tr w:rsidR="00935DA5" w:rsidRPr="00F40195" w:rsidTr="00246694">
        <w:tc>
          <w:tcPr>
            <w:tcW w:w="4788" w:type="dxa"/>
            <w:shd w:val="clear" w:color="auto" w:fill="C6D9F1" w:themeFill="text2" w:themeFillTint="33"/>
          </w:tcPr>
          <w:p w:rsidR="00935DA5" w:rsidRPr="00F40195" w:rsidRDefault="00935DA5" w:rsidP="00F40195">
            <w:pPr>
              <w:jc w:val="center"/>
              <w:rPr>
                <w:b/>
              </w:rPr>
            </w:pPr>
            <w:r w:rsidRPr="00F40195">
              <w:rPr>
                <w:b/>
              </w:rPr>
              <w:t>Current Kentucky Policy</w:t>
            </w:r>
          </w:p>
        </w:tc>
        <w:tc>
          <w:tcPr>
            <w:tcW w:w="4788" w:type="dxa"/>
            <w:shd w:val="clear" w:color="auto" w:fill="C6D9F1" w:themeFill="text2" w:themeFillTint="33"/>
          </w:tcPr>
          <w:p w:rsidR="00935DA5" w:rsidRPr="00F40195" w:rsidRDefault="00935DA5" w:rsidP="00F40195">
            <w:pPr>
              <w:jc w:val="center"/>
              <w:rPr>
                <w:b/>
              </w:rPr>
            </w:pPr>
            <w:r w:rsidRPr="00F40195">
              <w:rPr>
                <w:b/>
              </w:rPr>
              <w:t>Evidence-Based Model</w:t>
            </w:r>
          </w:p>
        </w:tc>
      </w:tr>
      <w:tr w:rsidR="00935DA5" w:rsidRPr="00F40195" w:rsidTr="00246694">
        <w:tc>
          <w:tcPr>
            <w:tcW w:w="4788" w:type="dxa"/>
          </w:tcPr>
          <w:p w:rsidR="00935DA5" w:rsidRPr="00AC576B" w:rsidRDefault="00603132" w:rsidP="0066654C">
            <w:pPr>
              <w:autoSpaceDE w:val="0"/>
              <w:autoSpaceDN w:val="0"/>
              <w:adjustRightInd w:val="0"/>
              <w:rPr>
                <w:bCs/>
                <w:szCs w:val="24"/>
              </w:rPr>
            </w:pPr>
            <w:r w:rsidRPr="00F40195">
              <w:rPr>
                <w:bCs/>
                <w:szCs w:val="24"/>
              </w:rPr>
              <w:t>English Learner</w:t>
            </w:r>
            <w:r w:rsidR="00246694" w:rsidRPr="00F40195">
              <w:rPr>
                <w:bCs/>
                <w:szCs w:val="24"/>
              </w:rPr>
              <w:t xml:space="preserve"> Funding is determined by</w:t>
            </w:r>
            <w:r w:rsidR="00935DA5" w:rsidRPr="00F40195">
              <w:rPr>
                <w:b/>
                <w:bCs/>
                <w:szCs w:val="24"/>
              </w:rPr>
              <w:t xml:space="preserve"> </w:t>
            </w:r>
            <w:r w:rsidR="00935DA5" w:rsidRPr="00F40195">
              <w:rPr>
                <w:bCs/>
                <w:szCs w:val="24"/>
              </w:rPr>
              <w:t>prior years</w:t>
            </w:r>
            <w:r w:rsidR="00246694" w:rsidRPr="00F40195">
              <w:rPr>
                <w:bCs/>
                <w:szCs w:val="24"/>
              </w:rPr>
              <w:t>’</w:t>
            </w:r>
            <w:r w:rsidR="00935DA5" w:rsidRPr="00F40195">
              <w:rPr>
                <w:bCs/>
                <w:szCs w:val="24"/>
              </w:rPr>
              <w:t xml:space="preserve"> counts of LEP students </w:t>
            </w:r>
            <w:r w:rsidR="00246694" w:rsidRPr="00F40195">
              <w:rPr>
                <w:bCs/>
                <w:szCs w:val="24"/>
              </w:rPr>
              <w:t>with a weight of</w:t>
            </w:r>
            <w:r w:rsidR="00935DA5" w:rsidRPr="00F40195">
              <w:rPr>
                <w:bCs/>
                <w:szCs w:val="24"/>
              </w:rPr>
              <w:t xml:space="preserve"> .075 over the guaranteed base funding.</w:t>
            </w:r>
          </w:p>
        </w:tc>
        <w:tc>
          <w:tcPr>
            <w:tcW w:w="4788" w:type="dxa"/>
          </w:tcPr>
          <w:p w:rsidR="00935DA5" w:rsidRPr="00F40195" w:rsidRDefault="00935DA5" w:rsidP="00F40195">
            <w:pPr>
              <w:rPr>
                <w:szCs w:val="24"/>
              </w:rPr>
            </w:pPr>
            <w:r w:rsidRPr="00F40195">
              <w:rPr>
                <w:szCs w:val="24"/>
              </w:rPr>
              <w:t xml:space="preserve">One (1) FTE teacher position for every 100 </w:t>
            </w:r>
            <w:r w:rsidR="00603132" w:rsidRPr="00F40195">
              <w:rPr>
                <w:szCs w:val="24"/>
              </w:rPr>
              <w:t xml:space="preserve">EL </w:t>
            </w:r>
            <w:r w:rsidRPr="00F40195">
              <w:rPr>
                <w:szCs w:val="24"/>
              </w:rPr>
              <w:t>students.</w:t>
            </w:r>
          </w:p>
          <w:p w:rsidR="00935DA5" w:rsidRDefault="00935DA5" w:rsidP="00F40195"/>
          <w:p w:rsidR="00EE76D2" w:rsidRPr="00F40195" w:rsidRDefault="00EE76D2" w:rsidP="00EE76D2">
            <w:r>
              <w:rPr>
                <w:rFonts w:eastAsiaTheme="minorHAnsi"/>
                <w:szCs w:val="22"/>
              </w:rPr>
              <w:t xml:space="preserve">Additionally, in order to ensure that all EL students receive appropriate extra help, the EB Approach recommends using an unduplicated count of EL and FRPL supplying resources for all EL students whether they are FRPL or not. </w:t>
            </w:r>
          </w:p>
        </w:tc>
      </w:tr>
      <w:tr w:rsidR="00935DA5" w:rsidRPr="00F40195" w:rsidTr="00246694">
        <w:tc>
          <w:tcPr>
            <w:tcW w:w="4788" w:type="dxa"/>
          </w:tcPr>
          <w:p w:rsidR="00935DA5" w:rsidRPr="00F40195" w:rsidRDefault="00935DA5" w:rsidP="00F40195">
            <w:pPr>
              <w:rPr>
                <w:szCs w:val="24"/>
              </w:rPr>
            </w:pPr>
            <w:r w:rsidRPr="00F40195">
              <w:rPr>
                <w:b/>
              </w:rPr>
              <w:t>Stakeholder Panel Recommendation</w:t>
            </w:r>
          </w:p>
        </w:tc>
        <w:tc>
          <w:tcPr>
            <w:tcW w:w="4788" w:type="dxa"/>
          </w:tcPr>
          <w:p w:rsidR="00935DA5" w:rsidRPr="00F40195" w:rsidRDefault="00935DA5" w:rsidP="00F40195">
            <w:pPr>
              <w:rPr>
                <w:szCs w:val="24"/>
              </w:rPr>
            </w:pPr>
            <w:r w:rsidRPr="00F40195">
              <w:rPr>
                <w:b/>
              </w:rPr>
              <w:t>Advisory Committee Recommendation</w:t>
            </w:r>
          </w:p>
        </w:tc>
      </w:tr>
      <w:tr w:rsidR="00935DA5" w:rsidRPr="00F40195" w:rsidTr="00246694">
        <w:tc>
          <w:tcPr>
            <w:tcW w:w="4788" w:type="dxa"/>
          </w:tcPr>
          <w:p w:rsidR="00935DA5" w:rsidRPr="00F40195" w:rsidRDefault="0010768C" w:rsidP="00844962">
            <w:pPr>
              <w:pStyle w:val="Default"/>
            </w:pPr>
            <w:r w:rsidRPr="00F40195">
              <w:rPr>
                <w:rFonts w:eastAsiaTheme="minorHAnsi"/>
                <w:szCs w:val="22"/>
              </w:rPr>
              <w:t>Same as EB Model with attention to the needs of districts serving diverse ELs with varying levels of schooling across the immigrant and refugee groups</w:t>
            </w:r>
            <w:r w:rsidRPr="00F40195" w:rsidDel="0010768C">
              <w:rPr>
                <w:rFonts w:eastAsiaTheme="minorHAnsi"/>
                <w:szCs w:val="22"/>
              </w:rPr>
              <w:t xml:space="preserve"> </w:t>
            </w:r>
          </w:p>
        </w:tc>
        <w:tc>
          <w:tcPr>
            <w:tcW w:w="4788" w:type="dxa"/>
          </w:tcPr>
          <w:p w:rsidR="007C7FE8" w:rsidRDefault="0010768C" w:rsidP="007D19D4">
            <w:pPr>
              <w:pStyle w:val="Default"/>
              <w:rPr>
                <w:rFonts w:eastAsiaTheme="minorHAnsi"/>
                <w:szCs w:val="22"/>
              </w:rPr>
            </w:pPr>
            <w:r w:rsidRPr="00F40195">
              <w:rPr>
                <w:rFonts w:eastAsiaTheme="minorHAnsi"/>
                <w:szCs w:val="22"/>
              </w:rPr>
              <w:t>Same as EB Model with special state allocated grants serving high numbers of EL students or EL students coming into the system with vast quantities of different languages.</w:t>
            </w:r>
            <w:r w:rsidR="00D6458D">
              <w:rPr>
                <w:rFonts w:eastAsiaTheme="minorHAnsi"/>
                <w:szCs w:val="22"/>
              </w:rPr>
              <w:t xml:space="preserve"> </w:t>
            </w:r>
          </w:p>
          <w:p w:rsidR="007C7FE8" w:rsidRDefault="007C7FE8" w:rsidP="007D19D4">
            <w:pPr>
              <w:pStyle w:val="Default"/>
              <w:rPr>
                <w:rFonts w:eastAsiaTheme="minorHAnsi"/>
                <w:szCs w:val="22"/>
              </w:rPr>
            </w:pPr>
          </w:p>
          <w:p w:rsidR="00935DA5" w:rsidRPr="00AC576B" w:rsidRDefault="00935DA5" w:rsidP="007C7FE8">
            <w:pPr>
              <w:pStyle w:val="Default"/>
              <w:rPr>
                <w:rFonts w:eastAsiaTheme="minorHAnsi"/>
                <w:szCs w:val="22"/>
              </w:rPr>
            </w:pPr>
          </w:p>
        </w:tc>
      </w:tr>
      <w:tr w:rsidR="00935DA5" w:rsidRPr="00F40195" w:rsidTr="00246694">
        <w:tc>
          <w:tcPr>
            <w:tcW w:w="9576" w:type="dxa"/>
            <w:gridSpan w:val="2"/>
            <w:shd w:val="clear" w:color="auto" w:fill="C6D9F1" w:themeFill="text2" w:themeFillTint="33"/>
          </w:tcPr>
          <w:p w:rsidR="00935DA5" w:rsidRPr="00F40195" w:rsidRDefault="00935DA5" w:rsidP="00F40195">
            <w:pPr>
              <w:jc w:val="center"/>
              <w:rPr>
                <w:b/>
              </w:rPr>
            </w:pPr>
            <w:r w:rsidRPr="00F40195">
              <w:rPr>
                <w:b/>
              </w:rPr>
              <w:t>Analysis and Evidence</w:t>
            </w:r>
          </w:p>
        </w:tc>
      </w:tr>
      <w:tr w:rsidR="00935DA5" w:rsidRPr="00F40195" w:rsidTr="00246694">
        <w:tc>
          <w:tcPr>
            <w:tcW w:w="9576" w:type="dxa"/>
            <w:gridSpan w:val="2"/>
          </w:tcPr>
          <w:p w:rsidR="00246694" w:rsidRPr="00F40195" w:rsidRDefault="00246694" w:rsidP="00F40195">
            <w:pPr>
              <w:rPr>
                <w:szCs w:val="24"/>
              </w:rPr>
            </w:pPr>
            <w:r w:rsidRPr="00F40195">
              <w:rPr>
                <w:szCs w:val="24"/>
              </w:rPr>
              <w:t xml:space="preserve">Research, best practices and experience show that </w:t>
            </w:r>
            <w:r w:rsidR="0072188D" w:rsidRPr="00F40195">
              <w:rPr>
                <w:szCs w:val="24"/>
              </w:rPr>
              <w:t>English Learners (ELs)</w:t>
            </w:r>
            <w:r w:rsidRPr="00F40195">
              <w:rPr>
                <w:szCs w:val="24"/>
              </w:rPr>
              <w:t xml:space="preserve"> need </w:t>
            </w:r>
            <w:r w:rsidR="0072188D" w:rsidRPr="00F40195">
              <w:rPr>
                <w:szCs w:val="24"/>
              </w:rPr>
              <w:t>additional support to access content while learning acadmic English</w:t>
            </w:r>
            <w:r w:rsidR="009739FE" w:rsidRPr="00F40195">
              <w:rPr>
                <w:szCs w:val="24"/>
              </w:rPr>
              <w:t xml:space="preserve"> </w:t>
            </w:r>
            <w:r w:rsidRPr="00F40195">
              <w:rPr>
                <w:szCs w:val="24"/>
              </w:rPr>
              <w:t xml:space="preserve">This </w:t>
            </w:r>
            <w:r w:rsidR="0072188D" w:rsidRPr="00F40195">
              <w:rPr>
                <w:szCs w:val="24"/>
              </w:rPr>
              <w:t xml:space="preserve">support </w:t>
            </w:r>
            <w:r w:rsidRPr="00F40195">
              <w:rPr>
                <w:szCs w:val="24"/>
              </w:rPr>
              <w:t xml:space="preserve">can include some combination of small classes, English as a second language classes, professional development for teachers to help them teach eltered English classes, and “reception” centers for districts with large numbers of </w:t>
            </w:r>
            <w:r w:rsidR="0072188D" w:rsidRPr="00F40195">
              <w:rPr>
                <w:szCs w:val="24"/>
              </w:rPr>
              <w:t xml:space="preserve">EL </w:t>
            </w:r>
            <w:r w:rsidRPr="00F40195">
              <w:rPr>
                <w:szCs w:val="24"/>
              </w:rPr>
              <w:t>students who arrive at the school throughout the year.</w:t>
            </w:r>
          </w:p>
          <w:p w:rsidR="00246694" w:rsidRPr="00F40195" w:rsidRDefault="00246694" w:rsidP="00F40195">
            <w:pPr>
              <w:rPr>
                <w:szCs w:val="24"/>
              </w:rPr>
            </w:pPr>
          </w:p>
          <w:p w:rsidR="00246694" w:rsidRPr="00F40195" w:rsidRDefault="00246694" w:rsidP="00F40195">
            <w:pPr>
              <w:rPr>
                <w:szCs w:val="24"/>
              </w:rPr>
            </w:pPr>
            <w:r w:rsidRPr="00F40195">
              <w:rPr>
                <w:szCs w:val="24"/>
              </w:rPr>
              <w:t xml:space="preserve">Good </w:t>
            </w:r>
            <w:r w:rsidR="0072188D" w:rsidRPr="00F40195">
              <w:rPr>
                <w:szCs w:val="24"/>
              </w:rPr>
              <w:t>EL</w:t>
            </w:r>
            <w:r w:rsidRPr="00F40195">
              <w:rPr>
                <w:szCs w:val="24"/>
              </w:rPr>
              <w:t xml:space="preserve"> programs work, whether the approach is structured English immersion (Clark, 2009) or initial instruction in the native language, often called bilingual education</w:t>
            </w:r>
            <w:r w:rsidR="009739FE" w:rsidRPr="00F40195">
              <w:rPr>
                <w:szCs w:val="24"/>
              </w:rPr>
              <w:t xml:space="preserve">. </w:t>
            </w:r>
            <w:r w:rsidRPr="00F40195">
              <w:rPr>
                <w:szCs w:val="24"/>
              </w:rPr>
              <w:t>However, bilingual education is difficult to provide in most schools because students come from so many different language backgrounds.</w:t>
            </w:r>
          </w:p>
          <w:p w:rsidR="00246694" w:rsidRPr="00F40195" w:rsidRDefault="00246694" w:rsidP="00F40195">
            <w:pPr>
              <w:rPr>
                <w:szCs w:val="24"/>
              </w:rPr>
            </w:pPr>
          </w:p>
          <w:p w:rsidR="00246694" w:rsidRPr="00F40195" w:rsidRDefault="00246694" w:rsidP="00F40195">
            <w:pPr>
              <w:rPr>
                <w:szCs w:val="24"/>
              </w:rPr>
            </w:pPr>
            <w:r w:rsidRPr="00F40195">
              <w:rPr>
                <w:szCs w:val="24"/>
              </w:rPr>
              <w:lastRenderedPageBreak/>
              <w:t xml:space="preserve">In a best-evidence synthesis of 17 studies on bilingual education, Slavin &amp; Cheung (2005) found that </w:t>
            </w:r>
            <w:r w:rsidR="0072188D" w:rsidRPr="00F40195">
              <w:rPr>
                <w:szCs w:val="24"/>
              </w:rPr>
              <w:t>ELs</w:t>
            </w:r>
            <w:r w:rsidRPr="00F40195">
              <w:rPr>
                <w:szCs w:val="24"/>
              </w:rPr>
              <w:t xml:space="preserve"> in bilingual programs outperformed their non-bilingual program peers. Using studies focused primarily on reading achievement, the authors found an effect size of +0.45 for </w:t>
            </w:r>
            <w:r w:rsidR="0072188D" w:rsidRPr="00F40195">
              <w:rPr>
                <w:szCs w:val="24"/>
              </w:rPr>
              <w:t>ELs</w:t>
            </w:r>
            <w:r w:rsidR="009739FE" w:rsidRPr="00F40195">
              <w:rPr>
                <w:szCs w:val="24"/>
              </w:rPr>
              <w:t xml:space="preserve">. </w:t>
            </w:r>
            <w:r w:rsidRPr="00F40195">
              <w:rPr>
                <w:szCs w:val="24"/>
              </w:rPr>
              <w:t>A more recent randomized control trial also produced strong positive effects for bilingual education programs (Slavin, et al., 2011), but concluded that the language of instruction is less important than the approaches taken to teach reading.</w:t>
            </w:r>
          </w:p>
          <w:p w:rsidR="00246694" w:rsidRPr="00F40195" w:rsidRDefault="00246694" w:rsidP="00F40195">
            <w:pPr>
              <w:rPr>
                <w:szCs w:val="24"/>
              </w:rPr>
            </w:pPr>
          </w:p>
          <w:p w:rsidR="00246694" w:rsidRPr="00F40195" w:rsidRDefault="00246694" w:rsidP="00F40195">
            <w:pPr>
              <w:rPr>
                <w:szCs w:val="24"/>
              </w:rPr>
            </w:pPr>
            <w:r w:rsidRPr="00F40195">
              <w:rPr>
                <w:szCs w:val="24"/>
              </w:rPr>
              <w:t xml:space="preserve">In </w:t>
            </w:r>
            <w:r w:rsidRPr="00F40195">
              <w:rPr>
                <w:i/>
                <w:szCs w:val="24"/>
              </w:rPr>
              <w:t>The Elementary School Journal,</w:t>
            </w:r>
            <w:r w:rsidRPr="00F40195">
              <w:rPr>
                <w:szCs w:val="24"/>
              </w:rPr>
              <w:t xml:space="preserve"> Gersten (2006) concludes that </w:t>
            </w:r>
            <w:r w:rsidR="0072188D" w:rsidRPr="00F40195">
              <w:rPr>
                <w:szCs w:val="24"/>
              </w:rPr>
              <w:t>ELs</w:t>
            </w:r>
            <w:r w:rsidRPr="00F40195">
              <w:rPr>
                <w:szCs w:val="24"/>
              </w:rPr>
              <w:t xml:space="preserve"> can be taught to read in English if, as shown for monolingual students, the instruction covers phonemic awareness, decoding, fluency, vocabulary and reading comprehension</w:t>
            </w:r>
            <w:r w:rsidR="009739FE" w:rsidRPr="00F40195">
              <w:rPr>
                <w:szCs w:val="24"/>
              </w:rPr>
              <w:t xml:space="preserve">. </w:t>
            </w:r>
            <w:r w:rsidRPr="00F40195">
              <w:rPr>
                <w:szCs w:val="24"/>
              </w:rPr>
              <w:t xml:space="preserve">Gersten’s studies also showed that </w:t>
            </w:r>
            <w:r w:rsidR="0072188D" w:rsidRPr="00F40195">
              <w:rPr>
                <w:szCs w:val="24"/>
              </w:rPr>
              <w:t>ELs</w:t>
            </w:r>
            <w:r w:rsidRPr="00F40195">
              <w:rPr>
                <w:szCs w:val="24"/>
              </w:rPr>
              <w:t xml:space="preserve"> benefit from instructional interventions initially designed for monolingual English speaking students, the resources for which are included above.</w:t>
            </w:r>
          </w:p>
          <w:p w:rsidR="00246694" w:rsidRPr="00F40195" w:rsidRDefault="00246694" w:rsidP="00F40195">
            <w:pPr>
              <w:rPr>
                <w:szCs w:val="24"/>
              </w:rPr>
            </w:pPr>
          </w:p>
          <w:p w:rsidR="00246694" w:rsidRPr="00F40195" w:rsidRDefault="00246694" w:rsidP="00F40195">
            <w:pPr>
              <w:rPr>
                <w:szCs w:val="24"/>
              </w:rPr>
            </w:pPr>
            <w:r w:rsidRPr="00F40195">
              <w:rPr>
                <w:szCs w:val="24"/>
              </w:rPr>
              <w:t xml:space="preserve">Beyond the provision of additional teachers to provide English as a second language instruction to students who need that help, research shows that </w:t>
            </w:r>
            <w:r w:rsidR="00D64AD1" w:rsidRPr="00F40195">
              <w:rPr>
                <w:szCs w:val="24"/>
              </w:rPr>
              <w:t>ELs</w:t>
            </w:r>
            <w:r w:rsidRPr="00F40195">
              <w:rPr>
                <w:szCs w:val="24"/>
              </w:rPr>
              <w:t xml:space="preserve"> need a solid and rigorous core curriculum as the basis from which to provide any extra services (Gandara &amp; Rumberger, 2008; Gandara, Rumberger, Maxwell-Jolly, &amp; Callahan, 2003)</w:t>
            </w:r>
            <w:r w:rsidR="009739FE" w:rsidRPr="00F40195">
              <w:rPr>
                <w:szCs w:val="24"/>
              </w:rPr>
              <w:t xml:space="preserve">. </w:t>
            </w:r>
            <w:r w:rsidRPr="00F40195">
              <w:rPr>
                <w:szCs w:val="24"/>
              </w:rPr>
              <w:t>This research suggests that EL</w:t>
            </w:r>
            <w:r w:rsidR="00D64AD1" w:rsidRPr="00F40195">
              <w:rPr>
                <w:szCs w:val="24"/>
              </w:rPr>
              <w:t>s</w:t>
            </w:r>
            <w:r w:rsidRPr="00F40195">
              <w:rPr>
                <w:szCs w:val="24"/>
              </w:rPr>
              <w:t xml:space="preserve"> students need:</w:t>
            </w:r>
          </w:p>
          <w:p w:rsidR="00246694" w:rsidRPr="00F40195" w:rsidRDefault="00246694" w:rsidP="00F40195">
            <w:pPr>
              <w:rPr>
                <w:szCs w:val="24"/>
                <w:u w:val="single"/>
              </w:rPr>
            </w:pPr>
          </w:p>
          <w:p w:rsidR="00246694" w:rsidRPr="00F40195" w:rsidRDefault="00246694" w:rsidP="00F40195">
            <w:pPr>
              <w:pStyle w:val="ListParagraph"/>
              <w:numPr>
                <w:ilvl w:val="0"/>
                <w:numId w:val="5"/>
              </w:numPr>
              <w:rPr>
                <w:szCs w:val="24"/>
              </w:rPr>
            </w:pPr>
            <w:r w:rsidRPr="00F40195">
              <w:rPr>
                <w:szCs w:val="24"/>
              </w:rPr>
              <w:t>Effective teachers – a core goal of all the staffing in this chapter</w:t>
            </w:r>
          </w:p>
          <w:p w:rsidR="00246694" w:rsidRPr="00F40195" w:rsidRDefault="00246694" w:rsidP="00F40195">
            <w:pPr>
              <w:pStyle w:val="ListParagraph"/>
              <w:numPr>
                <w:ilvl w:val="0"/>
                <w:numId w:val="5"/>
              </w:numPr>
              <w:rPr>
                <w:szCs w:val="24"/>
              </w:rPr>
            </w:pPr>
            <w:r w:rsidRPr="00F40195">
              <w:rPr>
                <w:szCs w:val="24"/>
              </w:rPr>
              <w:t>Adequate instructional materials and good school conditions</w:t>
            </w:r>
          </w:p>
          <w:p w:rsidR="00246694" w:rsidRPr="00F40195" w:rsidRDefault="00246694" w:rsidP="00F40195">
            <w:pPr>
              <w:pStyle w:val="ListParagraph"/>
              <w:numPr>
                <w:ilvl w:val="0"/>
                <w:numId w:val="5"/>
              </w:numPr>
              <w:rPr>
                <w:szCs w:val="24"/>
              </w:rPr>
            </w:pPr>
            <w:r w:rsidRPr="00F40195">
              <w:rPr>
                <w:szCs w:val="24"/>
              </w:rPr>
              <w:t xml:space="preserve">Good assessments of </w:t>
            </w:r>
            <w:r w:rsidR="00D64AD1" w:rsidRPr="00F40195">
              <w:rPr>
                <w:szCs w:val="24"/>
              </w:rPr>
              <w:t>ELs</w:t>
            </w:r>
            <w:r w:rsidRPr="00F40195">
              <w:rPr>
                <w:szCs w:val="24"/>
              </w:rPr>
              <w:t xml:space="preserve"> so teachers know in detail their English language reading and other academic skills</w:t>
            </w:r>
          </w:p>
          <w:p w:rsidR="00246694" w:rsidRPr="00F40195" w:rsidRDefault="00246694" w:rsidP="00F40195">
            <w:pPr>
              <w:pStyle w:val="ListParagraph"/>
              <w:numPr>
                <w:ilvl w:val="0"/>
                <w:numId w:val="5"/>
              </w:numPr>
              <w:spacing w:after="200"/>
              <w:rPr>
                <w:szCs w:val="24"/>
              </w:rPr>
            </w:pPr>
            <w:r w:rsidRPr="00F40195">
              <w:rPr>
                <w:szCs w:val="24"/>
              </w:rPr>
              <w:t xml:space="preserve">Less segregation of </w:t>
            </w:r>
            <w:r w:rsidR="00D64AD1" w:rsidRPr="00F40195">
              <w:rPr>
                <w:szCs w:val="24"/>
              </w:rPr>
              <w:t>ELs</w:t>
            </w:r>
          </w:p>
          <w:p w:rsidR="00246694" w:rsidRPr="00F40195" w:rsidRDefault="00246694" w:rsidP="00F40195">
            <w:pPr>
              <w:pStyle w:val="ListParagraph"/>
              <w:numPr>
                <w:ilvl w:val="0"/>
                <w:numId w:val="5"/>
              </w:numPr>
              <w:rPr>
                <w:szCs w:val="24"/>
              </w:rPr>
            </w:pPr>
            <w:r w:rsidRPr="00F40195">
              <w:rPr>
                <w:szCs w:val="24"/>
              </w:rPr>
              <w:t xml:space="preserve">Rigorous and effective curriculum and courses for all </w:t>
            </w:r>
            <w:r w:rsidR="00D64AD1" w:rsidRPr="00F40195">
              <w:rPr>
                <w:szCs w:val="24"/>
              </w:rPr>
              <w:t>ELs</w:t>
            </w:r>
            <w:r w:rsidRPr="00F40195">
              <w:rPr>
                <w:szCs w:val="24"/>
              </w:rPr>
              <w:t>, and affirmative counseling of such students to take those courses</w:t>
            </w:r>
          </w:p>
          <w:p w:rsidR="00246694" w:rsidRPr="00F40195" w:rsidRDefault="00246694" w:rsidP="00F40195">
            <w:pPr>
              <w:pStyle w:val="ListParagraph"/>
              <w:numPr>
                <w:ilvl w:val="0"/>
                <w:numId w:val="5"/>
              </w:numPr>
              <w:rPr>
                <w:szCs w:val="24"/>
              </w:rPr>
            </w:pPr>
            <w:r w:rsidRPr="00F40195">
              <w:rPr>
                <w:szCs w:val="24"/>
              </w:rPr>
              <w:t>Professional development for all teachers, focusing on she</w:t>
            </w:r>
            <w:r w:rsidR="003A0229" w:rsidRPr="00F40195">
              <w:rPr>
                <w:szCs w:val="24"/>
              </w:rPr>
              <w:t>ltered English teaching skills</w:t>
            </w:r>
          </w:p>
          <w:p w:rsidR="00246694" w:rsidRPr="00F40195" w:rsidRDefault="00246694" w:rsidP="00F40195">
            <w:pPr>
              <w:rPr>
                <w:szCs w:val="24"/>
              </w:rPr>
            </w:pPr>
          </w:p>
          <w:p w:rsidR="00246694" w:rsidRPr="00F40195" w:rsidRDefault="00246694" w:rsidP="00F40195">
            <w:pPr>
              <w:rPr>
                <w:szCs w:val="24"/>
              </w:rPr>
            </w:pPr>
            <w:r w:rsidRPr="00F40195">
              <w:rPr>
                <w:szCs w:val="24"/>
              </w:rPr>
              <w:t xml:space="preserve">Hakuta (2011) supports these conclusions but also notes that English language learning takes time (one reason we include the above resources for every grade level) and that “academic language” is critical to learning the new Common Core Standards. The new standards require more explicit and coherent EL instructional strategies and extra help services if these are to be effective at ensuring that </w:t>
            </w:r>
            <w:r w:rsidR="00D64AD1" w:rsidRPr="00F40195">
              <w:rPr>
                <w:szCs w:val="24"/>
              </w:rPr>
              <w:t>ELs</w:t>
            </w:r>
            <w:r w:rsidRPr="00F40195">
              <w:rPr>
                <w:szCs w:val="24"/>
              </w:rPr>
              <w:t xml:space="preserve"> learn the subject matter, </w:t>
            </w:r>
            <w:r w:rsidR="003A0229" w:rsidRPr="00F40195">
              <w:rPr>
                <w:szCs w:val="24"/>
              </w:rPr>
              <w:t>English generally</w:t>
            </w:r>
            <w:r w:rsidRPr="00F40195">
              <w:rPr>
                <w:szCs w:val="24"/>
              </w:rPr>
              <w:t xml:space="preserve"> and academic English specifically.</w:t>
            </w:r>
          </w:p>
          <w:p w:rsidR="00246694" w:rsidRPr="00F40195" w:rsidRDefault="00246694" w:rsidP="00F40195">
            <w:pPr>
              <w:rPr>
                <w:szCs w:val="24"/>
              </w:rPr>
            </w:pPr>
          </w:p>
          <w:p w:rsidR="00246694" w:rsidRPr="00F40195" w:rsidRDefault="00246694" w:rsidP="00F40195">
            <w:pPr>
              <w:rPr>
                <w:szCs w:val="24"/>
              </w:rPr>
            </w:pPr>
            <w:r w:rsidRPr="00F40195">
              <w:rPr>
                <w:szCs w:val="24"/>
              </w:rPr>
              <w:t xml:space="preserve">Additional staff </w:t>
            </w:r>
            <w:r w:rsidR="003A0229" w:rsidRPr="00F40195">
              <w:rPr>
                <w:szCs w:val="24"/>
              </w:rPr>
              <w:t>is</w:t>
            </w:r>
            <w:r w:rsidRPr="00F40195">
              <w:rPr>
                <w:szCs w:val="24"/>
              </w:rPr>
              <w:t xml:space="preserve"> needed to provide </w:t>
            </w:r>
            <w:r w:rsidR="00990556" w:rsidRPr="00F40195">
              <w:rPr>
                <w:szCs w:val="24"/>
              </w:rPr>
              <w:t xml:space="preserve">instruction during the school day to students deemed </w:t>
            </w:r>
            <w:r w:rsidR="00D64AD1" w:rsidRPr="00F40195">
              <w:rPr>
                <w:szCs w:val="24"/>
              </w:rPr>
              <w:t>English Learner</w:t>
            </w:r>
            <w:r w:rsidRPr="00F40195">
              <w:rPr>
                <w:szCs w:val="24"/>
              </w:rPr>
              <w:t xml:space="preserve">, such as having </w:t>
            </w:r>
            <w:r w:rsidR="00D64AD1" w:rsidRPr="00F40195">
              <w:rPr>
                <w:szCs w:val="24"/>
              </w:rPr>
              <w:t xml:space="preserve">ELs </w:t>
            </w:r>
            <w:r w:rsidRPr="00F40195">
              <w:rPr>
                <w:szCs w:val="24"/>
              </w:rPr>
              <w:t xml:space="preserve">take ESL in lieu of a </w:t>
            </w:r>
            <w:r w:rsidR="00DC40D7" w:rsidRPr="00F40195">
              <w:rPr>
                <w:szCs w:val="24"/>
              </w:rPr>
              <w:t>specialist</w:t>
            </w:r>
            <w:r w:rsidRPr="00F40195">
              <w:rPr>
                <w:szCs w:val="24"/>
              </w:rPr>
              <w:t xml:space="preserve"> course</w:t>
            </w:r>
            <w:r w:rsidR="009739FE" w:rsidRPr="00F40195">
              <w:rPr>
                <w:szCs w:val="24"/>
              </w:rPr>
              <w:t xml:space="preserve">. </w:t>
            </w:r>
            <w:r w:rsidRPr="00F40195">
              <w:rPr>
                <w:szCs w:val="24"/>
              </w:rPr>
              <w:t xml:space="preserve">Although the potential to eliminate some </w:t>
            </w:r>
            <w:r w:rsidR="00DC40D7" w:rsidRPr="00F40195">
              <w:rPr>
                <w:szCs w:val="24"/>
              </w:rPr>
              <w:t>specialist</w:t>
            </w:r>
            <w:r w:rsidRPr="00F40195">
              <w:rPr>
                <w:szCs w:val="24"/>
              </w:rPr>
              <w:t xml:space="preserve"> classes exists if there are large numbers of </w:t>
            </w:r>
            <w:r w:rsidR="00D64AD1" w:rsidRPr="00F40195">
              <w:rPr>
                <w:szCs w:val="24"/>
              </w:rPr>
              <w:t>ELs</w:t>
            </w:r>
            <w:r w:rsidRPr="00F40195">
              <w:rPr>
                <w:szCs w:val="24"/>
              </w:rPr>
              <w:t xml:space="preserve"> who need to be pulled out of individual classrooms, it is generally agreed that to fully staff a strong </w:t>
            </w:r>
            <w:r w:rsidR="00D64AD1" w:rsidRPr="00F40195">
              <w:rPr>
                <w:szCs w:val="24"/>
              </w:rPr>
              <w:t xml:space="preserve">EL </w:t>
            </w:r>
            <w:r w:rsidRPr="00F40195">
              <w:rPr>
                <w:szCs w:val="24"/>
              </w:rPr>
              <w:t xml:space="preserve">program each 100 </w:t>
            </w:r>
            <w:r w:rsidR="00D64AD1" w:rsidRPr="00F40195">
              <w:rPr>
                <w:szCs w:val="24"/>
              </w:rPr>
              <w:t xml:space="preserve">EL </w:t>
            </w:r>
            <w:r w:rsidRPr="00F40195">
              <w:rPr>
                <w:szCs w:val="24"/>
              </w:rPr>
              <w:t xml:space="preserve">students should trigger one additional </w:t>
            </w:r>
            <w:r w:rsidR="00D64AD1" w:rsidRPr="00F40195">
              <w:rPr>
                <w:szCs w:val="24"/>
              </w:rPr>
              <w:t xml:space="preserve">EL </w:t>
            </w:r>
            <w:r w:rsidRPr="00F40195">
              <w:rPr>
                <w:szCs w:val="24"/>
              </w:rPr>
              <w:t>teaching position</w:t>
            </w:r>
            <w:r w:rsidR="009739FE" w:rsidRPr="00F40195">
              <w:rPr>
                <w:szCs w:val="24"/>
              </w:rPr>
              <w:t xml:space="preserve">. </w:t>
            </w:r>
            <w:r w:rsidRPr="00F40195">
              <w:rPr>
                <w:szCs w:val="24"/>
              </w:rPr>
              <w:t xml:space="preserve">This makes it possible to establish pullout classes for </w:t>
            </w:r>
            <w:r w:rsidR="00D64AD1" w:rsidRPr="00F40195">
              <w:rPr>
                <w:szCs w:val="24"/>
              </w:rPr>
              <w:t>ELs</w:t>
            </w:r>
            <w:r w:rsidRPr="00F40195">
              <w:rPr>
                <w:szCs w:val="24"/>
              </w:rPr>
              <w:t xml:space="preserve"> and give them an additional dose of English instruction</w:t>
            </w:r>
            <w:r w:rsidR="009739FE" w:rsidRPr="00F40195">
              <w:rPr>
                <w:szCs w:val="24"/>
              </w:rPr>
              <w:t xml:space="preserve">. </w:t>
            </w:r>
            <w:r w:rsidRPr="00F40195">
              <w:rPr>
                <w:szCs w:val="24"/>
              </w:rPr>
              <w:t xml:space="preserve">The goal of this programming is to reinforce </w:t>
            </w:r>
            <w:r w:rsidR="00D64AD1" w:rsidRPr="00F40195">
              <w:rPr>
                <w:szCs w:val="24"/>
              </w:rPr>
              <w:t>ELs</w:t>
            </w:r>
            <w:r w:rsidRPr="00F40195">
              <w:rPr>
                <w:szCs w:val="24"/>
              </w:rPr>
              <w:t xml:space="preserve"> learning of academic content and English so at some point the students can continue their schooling in English only.</w:t>
            </w:r>
          </w:p>
          <w:p w:rsidR="00246694" w:rsidRPr="00F40195" w:rsidRDefault="00246694" w:rsidP="00F40195">
            <w:pPr>
              <w:rPr>
                <w:szCs w:val="24"/>
              </w:rPr>
            </w:pPr>
          </w:p>
          <w:p w:rsidR="00246694" w:rsidRPr="00F40195" w:rsidRDefault="00246694" w:rsidP="00F40195">
            <w:pPr>
              <w:rPr>
                <w:szCs w:val="24"/>
              </w:rPr>
            </w:pPr>
            <w:r w:rsidRPr="00F40195">
              <w:rPr>
                <w:szCs w:val="24"/>
              </w:rPr>
              <w:lastRenderedPageBreak/>
              <w:t xml:space="preserve">For example, a school with 100 students who qualify for free and reduced price lunch (or some alternative measure of low income students) and no </w:t>
            </w:r>
            <w:r w:rsidR="00D64AD1" w:rsidRPr="00F40195">
              <w:rPr>
                <w:szCs w:val="24"/>
              </w:rPr>
              <w:t>ELs</w:t>
            </w:r>
            <w:r w:rsidRPr="00F40195">
              <w:rPr>
                <w:szCs w:val="24"/>
              </w:rPr>
              <w:t xml:space="preserve"> would receive 1.0 tutor position</w:t>
            </w:r>
            <w:r w:rsidR="009739FE" w:rsidRPr="00F40195">
              <w:rPr>
                <w:szCs w:val="24"/>
              </w:rPr>
              <w:t xml:space="preserve">. </w:t>
            </w:r>
            <w:r w:rsidRPr="00F40195">
              <w:rPr>
                <w:szCs w:val="24"/>
              </w:rPr>
              <w:t xml:space="preserve">But if the 100 low-income children were all </w:t>
            </w:r>
            <w:r w:rsidR="00D64AD1" w:rsidRPr="00F40195">
              <w:rPr>
                <w:szCs w:val="24"/>
              </w:rPr>
              <w:t>ELs</w:t>
            </w:r>
            <w:r w:rsidRPr="00F40195">
              <w:rPr>
                <w:szCs w:val="24"/>
              </w:rPr>
              <w:t>, the school would receive an additional 1.0 teacher position – in addition to the 1.0 tutor and any extended day, summer school and pupil support resources as outlined above.</w:t>
            </w:r>
          </w:p>
          <w:p w:rsidR="00246694" w:rsidRPr="00F40195" w:rsidRDefault="00246694" w:rsidP="00F40195">
            <w:pPr>
              <w:rPr>
                <w:szCs w:val="24"/>
              </w:rPr>
            </w:pPr>
          </w:p>
          <w:p w:rsidR="00BA2B42" w:rsidRPr="00F40195" w:rsidRDefault="00246694" w:rsidP="00F40195">
            <w:pPr>
              <w:rPr>
                <w:b/>
              </w:rPr>
            </w:pPr>
            <w:r w:rsidRPr="00F40195">
              <w:rPr>
                <w:szCs w:val="24"/>
              </w:rPr>
              <w:t xml:space="preserve">Given these realities, it is more appropriate to view the EB approach to extra resources for </w:t>
            </w:r>
            <w:r w:rsidR="00D64AD1" w:rsidRPr="00F40195">
              <w:rPr>
                <w:szCs w:val="24"/>
              </w:rPr>
              <w:t>ELs</w:t>
            </w:r>
            <w:r w:rsidRPr="00F40195">
              <w:rPr>
                <w:szCs w:val="24"/>
              </w:rPr>
              <w:t xml:space="preserve"> as including both resources for students from lower income backgrounds and </w:t>
            </w:r>
            <w:r w:rsidR="00D64AD1" w:rsidRPr="00F40195">
              <w:rPr>
                <w:szCs w:val="24"/>
              </w:rPr>
              <w:t xml:space="preserve">EL </w:t>
            </w:r>
            <w:r w:rsidRPr="00F40195">
              <w:rPr>
                <w:szCs w:val="24"/>
              </w:rPr>
              <w:t xml:space="preserve">specific resources (Jimenez-Castellanos &amp; Topper, 2012). </w:t>
            </w:r>
          </w:p>
        </w:tc>
      </w:tr>
    </w:tbl>
    <w:p w:rsidR="00246694" w:rsidRPr="00F40195" w:rsidRDefault="00246694" w:rsidP="008D674A">
      <w:pPr>
        <w:pStyle w:val="Heading3"/>
      </w:pPr>
      <w:bookmarkStart w:id="102" w:name="_Toc395180691"/>
      <w:r w:rsidRPr="00F40195">
        <w:lastRenderedPageBreak/>
        <w:t>C.13 Gifted and Talented Students</w:t>
      </w:r>
      <w:bookmarkEnd w:id="102"/>
      <w:r w:rsidRPr="00F40195">
        <w:t xml:space="preserve"> </w:t>
      </w:r>
    </w:p>
    <w:tbl>
      <w:tblPr>
        <w:tblStyle w:val="TableGrid"/>
        <w:tblW w:w="0" w:type="auto"/>
        <w:tblLook w:val="04A0" w:firstRow="1" w:lastRow="0" w:firstColumn="1" w:lastColumn="0" w:noHBand="0" w:noVBand="1"/>
      </w:tblPr>
      <w:tblGrid>
        <w:gridCol w:w="4788"/>
        <w:gridCol w:w="4788"/>
      </w:tblGrid>
      <w:tr w:rsidR="008028E2" w:rsidRPr="00F40195" w:rsidTr="00304E24">
        <w:tc>
          <w:tcPr>
            <w:tcW w:w="4788" w:type="dxa"/>
            <w:shd w:val="clear" w:color="auto" w:fill="C6D9F1" w:themeFill="text2" w:themeFillTint="33"/>
          </w:tcPr>
          <w:bookmarkEnd w:id="99"/>
          <w:p w:rsidR="008028E2" w:rsidRPr="00F40195" w:rsidRDefault="008028E2" w:rsidP="00F40195">
            <w:pPr>
              <w:jc w:val="center"/>
              <w:rPr>
                <w:b/>
              </w:rPr>
            </w:pPr>
            <w:r w:rsidRPr="00F40195">
              <w:rPr>
                <w:b/>
              </w:rPr>
              <w:t>Current Kentucky Policy</w:t>
            </w:r>
          </w:p>
        </w:tc>
        <w:tc>
          <w:tcPr>
            <w:tcW w:w="4788" w:type="dxa"/>
            <w:shd w:val="clear" w:color="auto" w:fill="C6D9F1" w:themeFill="text2" w:themeFillTint="33"/>
          </w:tcPr>
          <w:p w:rsidR="008028E2" w:rsidRPr="00F40195" w:rsidRDefault="008028E2" w:rsidP="00F40195">
            <w:pPr>
              <w:jc w:val="center"/>
              <w:rPr>
                <w:b/>
              </w:rPr>
            </w:pPr>
            <w:r w:rsidRPr="00F40195">
              <w:rPr>
                <w:b/>
              </w:rPr>
              <w:t>Evidence-Based Model</w:t>
            </w:r>
          </w:p>
        </w:tc>
      </w:tr>
      <w:tr w:rsidR="008028E2" w:rsidRPr="00F40195" w:rsidTr="00304E24">
        <w:tc>
          <w:tcPr>
            <w:tcW w:w="4788" w:type="dxa"/>
          </w:tcPr>
          <w:p w:rsidR="00A74262" w:rsidRPr="00F40195" w:rsidRDefault="00246694" w:rsidP="00844962">
            <w:pPr>
              <w:rPr>
                <w:b/>
              </w:rPr>
            </w:pPr>
            <w:r w:rsidRPr="00F40195">
              <w:rPr>
                <w:bCs/>
                <w:szCs w:val="24"/>
              </w:rPr>
              <w:t>N</w:t>
            </w:r>
            <w:r w:rsidR="00AC29DE" w:rsidRPr="00F40195">
              <w:rPr>
                <w:bCs/>
                <w:szCs w:val="24"/>
              </w:rPr>
              <w:t>o additional resources exist in the SEEK forward targeted to this population of students.</w:t>
            </w:r>
          </w:p>
        </w:tc>
        <w:tc>
          <w:tcPr>
            <w:tcW w:w="4788" w:type="dxa"/>
          </w:tcPr>
          <w:p w:rsidR="00254DA1" w:rsidRPr="00F40195" w:rsidRDefault="006B40C9" w:rsidP="00F40195">
            <w:r w:rsidRPr="00F40195">
              <w:rPr>
                <w:szCs w:val="24"/>
              </w:rPr>
              <w:t>Resources for gifted and talented students are provided at a rate of $25 per regular pupil</w:t>
            </w:r>
            <w:r w:rsidR="009739FE" w:rsidRPr="00F40195">
              <w:rPr>
                <w:szCs w:val="24"/>
              </w:rPr>
              <w:t xml:space="preserve">. </w:t>
            </w:r>
          </w:p>
        </w:tc>
      </w:tr>
      <w:tr w:rsidR="008028E2" w:rsidRPr="00F40195" w:rsidTr="00304E24">
        <w:tc>
          <w:tcPr>
            <w:tcW w:w="4788" w:type="dxa"/>
          </w:tcPr>
          <w:p w:rsidR="008028E2" w:rsidRPr="00F40195" w:rsidRDefault="008028E2" w:rsidP="00F40195">
            <w:pPr>
              <w:rPr>
                <w:szCs w:val="24"/>
              </w:rPr>
            </w:pPr>
            <w:r w:rsidRPr="00F40195">
              <w:rPr>
                <w:b/>
              </w:rPr>
              <w:t>Stakeholder Panel Recommendation</w:t>
            </w:r>
          </w:p>
        </w:tc>
        <w:tc>
          <w:tcPr>
            <w:tcW w:w="4788" w:type="dxa"/>
          </w:tcPr>
          <w:p w:rsidR="008028E2" w:rsidRPr="00F40195" w:rsidRDefault="008028E2" w:rsidP="00F40195">
            <w:pPr>
              <w:rPr>
                <w:szCs w:val="24"/>
              </w:rPr>
            </w:pPr>
            <w:r w:rsidRPr="00F40195">
              <w:rPr>
                <w:b/>
              </w:rPr>
              <w:t>Advisory Committee Recommendation</w:t>
            </w:r>
          </w:p>
        </w:tc>
      </w:tr>
      <w:tr w:rsidR="008028E2" w:rsidRPr="00F40195" w:rsidTr="00304E24">
        <w:tc>
          <w:tcPr>
            <w:tcW w:w="4788" w:type="dxa"/>
          </w:tcPr>
          <w:p w:rsidR="008028E2" w:rsidRPr="00F40195" w:rsidRDefault="00D64AD1" w:rsidP="00844962">
            <w:pPr>
              <w:pStyle w:val="Default"/>
            </w:pPr>
            <w:r w:rsidRPr="00F40195">
              <w:rPr>
                <w:rFonts w:eastAsiaTheme="minorHAnsi"/>
                <w:szCs w:val="22"/>
              </w:rPr>
              <w:t>General agreement with EB Model with some disagreement to the allocation due to a lack of evidence.</w:t>
            </w:r>
          </w:p>
        </w:tc>
        <w:tc>
          <w:tcPr>
            <w:tcW w:w="4788" w:type="dxa"/>
          </w:tcPr>
          <w:p w:rsidR="008028E2" w:rsidRPr="00F40195" w:rsidRDefault="004C2F91" w:rsidP="00F40195">
            <w:pPr>
              <w:rPr>
                <w:szCs w:val="24"/>
              </w:rPr>
            </w:pPr>
            <w:r w:rsidRPr="00F40195">
              <w:t>Agree with EB Model.</w:t>
            </w:r>
          </w:p>
        </w:tc>
      </w:tr>
      <w:tr w:rsidR="008028E2" w:rsidRPr="00F40195" w:rsidTr="00304E24">
        <w:tc>
          <w:tcPr>
            <w:tcW w:w="9576" w:type="dxa"/>
            <w:gridSpan w:val="2"/>
            <w:shd w:val="clear" w:color="auto" w:fill="C6D9F1" w:themeFill="text2" w:themeFillTint="33"/>
          </w:tcPr>
          <w:p w:rsidR="008028E2" w:rsidRPr="00F40195" w:rsidRDefault="008028E2" w:rsidP="00F40195">
            <w:pPr>
              <w:jc w:val="center"/>
              <w:rPr>
                <w:b/>
              </w:rPr>
            </w:pPr>
            <w:r w:rsidRPr="00F40195">
              <w:rPr>
                <w:b/>
              </w:rPr>
              <w:t>Analysis and Evidence</w:t>
            </w:r>
          </w:p>
        </w:tc>
      </w:tr>
      <w:tr w:rsidR="008028E2" w:rsidRPr="00F40195" w:rsidTr="00304E24">
        <w:tc>
          <w:tcPr>
            <w:tcW w:w="9576" w:type="dxa"/>
            <w:gridSpan w:val="2"/>
          </w:tcPr>
          <w:p w:rsidR="00234BF1" w:rsidRPr="00F40195" w:rsidRDefault="00D64AD1" w:rsidP="00234BF1">
            <w:pPr>
              <w:rPr>
                <w:szCs w:val="24"/>
                <w:u w:val="single"/>
              </w:rPr>
            </w:pPr>
            <w:r w:rsidRPr="00F40195">
              <w:rPr>
                <w:szCs w:val="24"/>
              </w:rPr>
              <w:t>There is little evidence that gifted and talented programs produce any meaningful academic outcomes for students (</w:t>
            </w:r>
            <w:r w:rsidRPr="00F40195">
              <w:t>Bui, Craig, Imberman, 2012). In a sample of 14,000, students at the margins, meaning those on either side of the cut point for entry into a program, showed no significant different in performance on standardized tests of math, science, reading, social studies, and language arts</w:t>
            </w:r>
            <w:r w:rsidR="0066654C">
              <w:t>.</w:t>
            </w:r>
            <w:r w:rsidR="00234BF1">
              <w:t xml:space="preserve"> Historically,</w:t>
            </w:r>
            <w:r w:rsidR="00234BF1" w:rsidRPr="00F40195">
              <w:rPr>
                <w:szCs w:val="24"/>
              </w:rPr>
              <w:t xml:space="preserve"> research on gifted programs indicates that the effects on student achievement vary by the strategy of the intervention. Enriched classes for gifted and talented produce effect sizes of about +0.40 and accelerated classes for gifted and talented students produce somewhat larger effectives sizes of +0.90 (Gallagher, 1996; Kulik &amp; Kulik, 1984; Kulik &amp; Kulik, 1992).</w:t>
            </w:r>
          </w:p>
          <w:p w:rsidR="00234BF1" w:rsidRPr="00F40195" w:rsidRDefault="00234BF1" w:rsidP="00234BF1">
            <w:pPr>
              <w:rPr>
                <w:szCs w:val="24"/>
                <w:u w:val="single"/>
              </w:rPr>
            </w:pPr>
          </w:p>
          <w:p w:rsidR="007D26E2" w:rsidRPr="00F40195" w:rsidRDefault="0066654C" w:rsidP="00F40195">
            <w:pPr>
              <w:rPr>
                <w:szCs w:val="24"/>
              </w:rPr>
            </w:pPr>
            <w:r>
              <w:rPr>
                <w:szCs w:val="24"/>
              </w:rPr>
              <w:t>Regardless, a</w:t>
            </w:r>
            <w:r w:rsidR="007D26E2" w:rsidRPr="00F40195">
              <w:rPr>
                <w:szCs w:val="24"/>
              </w:rPr>
              <w:t xml:space="preserve"> complete analysis of educational adequacy should </w:t>
            </w:r>
            <w:r w:rsidR="007D26E2" w:rsidRPr="00F40195">
              <w:rPr>
                <w:bCs/>
                <w:szCs w:val="24"/>
              </w:rPr>
              <w:t>include the gifted, talented, and able and ambitious students</w:t>
            </w:r>
            <w:r w:rsidR="007D26E2" w:rsidRPr="00F40195">
              <w:rPr>
                <w:szCs w:val="24"/>
              </w:rPr>
              <w:t>, most of who perform above state proficiency standards</w:t>
            </w:r>
            <w:r w:rsidR="009739FE" w:rsidRPr="00F40195">
              <w:rPr>
                <w:szCs w:val="24"/>
              </w:rPr>
              <w:t xml:space="preserve">. </w:t>
            </w:r>
            <w:r w:rsidR="007D26E2" w:rsidRPr="00F40195">
              <w:rPr>
                <w:szCs w:val="24"/>
              </w:rPr>
              <w:t>This is important for all states whose citizens desire improved performance for students at all levels of achievement</w:t>
            </w:r>
            <w:r w:rsidR="009739FE" w:rsidRPr="00F40195">
              <w:rPr>
                <w:szCs w:val="24"/>
              </w:rPr>
              <w:t xml:space="preserve">. </w:t>
            </w:r>
            <w:r w:rsidR="007D26E2" w:rsidRPr="00F40195">
              <w:rPr>
                <w:szCs w:val="24"/>
              </w:rPr>
              <w:t>Research shows that developing the potential of gifted and talented students requires:</w:t>
            </w:r>
          </w:p>
          <w:p w:rsidR="007D26E2" w:rsidRPr="00F40195" w:rsidRDefault="007D26E2" w:rsidP="00F40195">
            <w:pPr>
              <w:pStyle w:val="ListParagraph"/>
              <w:numPr>
                <w:ilvl w:val="0"/>
                <w:numId w:val="7"/>
              </w:numPr>
              <w:rPr>
                <w:szCs w:val="24"/>
              </w:rPr>
            </w:pPr>
            <w:r w:rsidRPr="00F40195">
              <w:rPr>
                <w:szCs w:val="24"/>
              </w:rPr>
              <w:t>Effort to discover the hidden talent of low income and/or culturally diverse students</w:t>
            </w:r>
          </w:p>
          <w:p w:rsidR="007D26E2" w:rsidRPr="00F40195" w:rsidRDefault="007D26E2" w:rsidP="00F40195">
            <w:pPr>
              <w:pStyle w:val="ListParagraph"/>
              <w:numPr>
                <w:ilvl w:val="0"/>
                <w:numId w:val="7"/>
              </w:numPr>
              <w:rPr>
                <w:szCs w:val="24"/>
              </w:rPr>
            </w:pPr>
            <w:r w:rsidRPr="00F40195">
              <w:rPr>
                <w:szCs w:val="24"/>
              </w:rPr>
              <w:t>Curriculum materials designed specifically to meet the needs of talented learners</w:t>
            </w:r>
          </w:p>
          <w:p w:rsidR="007D26E2" w:rsidRPr="00F40195" w:rsidRDefault="007D26E2" w:rsidP="00F40195">
            <w:pPr>
              <w:pStyle w:val="ListParagraph"/>
              <w:numPr>
                <w:ilvl w:val="0"/>
                <w:numId w:val="7"/>
              </w:numPr>
              <w:rPr>
                <w:szCs w:val="24"/>
              </w:rPr>
            </w:pPr>
            <w:r w:rsidRPr="00F40195">
              <w:rPr>
                <w:szCs w:val="24"/>
              </w:rPr>
              <w:t>Acceleration of the curriculum</w:t>
            </w:r>
          </w:p>
          <w:p w:rsidR="007D26E2" w:rsidRPr="00F40195" w:rsidRDefault="007D26E2" w:rsidP="00F40195">
            <w:pPr>
              <w:pStyle w:val="ListParagraph"/>
              <w:numPr>
                <w:ilvl w:val="0"/>
                <w:numId w:val="7"/>
              </w:numPr>
              <w:rPr>
                <w:szCs w:val="24"/>
              </w:rPr>
            </w:pPr>
            <w:r w:rsidRPr="00F40195">
              <w:rPr>
                <w:szCs w:val="24"/>
              </w:rPr>
              <w:t>Special training in how teachers can work effectively with talented learners.</w:t>
            </w:r>
          </w:p>
          <w:p w:rsidR="003A0229" w:rsidRPr="00F40195" w:rsidRDefault="003A0229" w:rsidP="00F40195">
            <w:pPr>
              <w:pStyle w:val="ListParagraph"/>
              <w:rPr>
                <w:szCs w:val="24"/>
              </w:rPr>
            </w:pPr>
          </w:p>
          <w:p w:rsidR="007D26E2" w:rsidRPr="00F40195" w:rsidRDefault="007D26E2" w:rsidP="00F40195">
            <w:pPr>
              <w:rPr>
                <w:szCs w:val="24"/>
              </w:rPr>
            </w:pPr>
            <w:r w:rsidRPr="00F40195">
              <w:rPr>
                <w:szCs w:val="24"/>
                <w:u w:val="single"/>
              </w:rPr>
              <w:t>Discovering hidden talents in low-income and/or culturally diverse high ability learners</w:t>
            </w:r>
            <w:r w:rsidR="009739FE" w:rsidRPr="00F40195">
              <w:rPr>
                <w:szCs w:val="24"/>
              </w:rPr>
              <w:t xml:space="preserve">. </w:t>
            </w:r>
            <w:r w:rsidRPr="00F40195">
              <w:rPr>
                <w:szCs w:val="24"/>
              </w:rPr>
              <w:t>Research studies on the use of performance assessments, nonverbal measures, open-ended tasks, extended try-out and transitional periods, and inclusive definitions and policies produce increased and more equitable identification practices for high ability culturally diverse and/or low-income learners</w:t>
            </w:r>
            <w:r w:rsidR="009739FE" w:rsidRPr="00F40195">
              <w:rPr>
                <w:szCs w:val="24"/>
              </w:rPr>
              <w:t xml:space="preserve">. </w:t>
            </w:r>
            <w:r w:rsidRPr="00F40195">
              <w:rPr>
                <w:szCs w:val="24"/>
              </w:rPr>
              <w:t xml:space="preserve">Access to specialized services for talented learners in the elementary years </w:t>
            </w:r>
            <w:r w:rsidRPr="00F40195">
              <w:rPr>
                <w:szCs w:val="24"/>
              </w:rPr>
              <w:lastRenderedPageBreak/>
              <w:t>is especially important for increased achievement among vulnerable students</w:t>
            </w:r>
            <w:r w:rsidR="009739FE" w:rsidRPr="00F40195">
              <w:rPr>
                <w:szCs w:val="24"/>
              </w:rPr>
              <w:t xml:space="preserve">. </w:t>
            </w:r>
            <w:r w:rsidRPr="00F40195">
              <w:rPr>
                <w:szCs w:val="24"/>
              </w:rPr>
              <w:t>For example, high ability culturally diverse learners who participated in three or more years of specialized elementary and/or middle school programming had higher achievement at high school graduation, as well as other measures of school achievement, than a comparable group of high ability students who did not participate (Struck, 2003).</w:t>
            </w:r>
          </w:p>
          <w:p w:rsidR="007D26E2" w:rsidRPr="00F40195" w:rsidRDefault="007D26E2" w:rsidP="00F40195">
            <w:pPr>
              <w:rPr>
                <w:szCs w:val="24"/>
              </w:rPr>
            </w:pPr>
          </w:p>
          <w:p w:rsidR="007D26E2" w:rsidRPr="00F40195" w:rsidRDefault="007D26E2" w:rsidP="00F40195">
            <w:pPr>
              <w:rPr>
                <w:szCs w:val="24"/>
              </w:rPr>
            </w:pPr>
            <w:r w:rsidRPr="00F40195">
              <w:rPr>
                <w:szCs w:val="24"/>
                <w:u w:val="single"/>
              </w:rPr>
              <w:t>Access to curriculum</w:t>
            </w:r>
            <w:r w:rsidR="009739FE" w:rsidRPr="00F40195">
              <w:rPr>
                <w:szCs w:val="24"/>
              </w:rPr>
              <w:t xml:space="preserve">. </w:t>
            </w:r>
            <w:r w:rsidRPr="00F40195">
              <w:rPr>
                <w:szCs w:val="24"/>
              </w:rPr>
              <w:t>Overall, research shows that curriculum programs specifically designed for talented learners produce greater learning than regular academic programs</w:t>
            </w:r>
            <w:r w:rsidR="009739FE" w:rsidRPr="00F40195">
              <w:rPr>
                <w:szCs w:val="24"/>
              </w:rPr>
              <w:t xml:space="preserve">. </w:t>
            </w:r>
            <w:proofErr w:type="gramStart"/>
            <w:r w:rsidRPr="00F40195">
              <w:rPr>
                <w:szCs w:val="24"/>
              </w:rPr>
              <w:t>Increases in the complexity of the curricular material is</w:t>
            </w:r>
            <w:proofErr w:type="gramEnd"/>
            <w:r w:rsidRPr="00F40195">
              <w:rPr>
                <w:szCs w:val="24"/>
              </w:rPr>
              <w:t xml:space="preserve"> a key factor (Robinson &amp; Clinkenbeard, 1998)</w:t>
            </w:r>
            <w:r w:rsidR="009739FE" w:rsidRPr="00F40195">
              <w:rPr>
                <w:szCs w:val="24"/>
              </w:rPr>
              <w:t xml:space="preserve">. </w:t>
            </w:r>
            <w:r w:rsidRPr="00F40195">
              <w:rPr>
                <w:szCs w:val="24"/>
              </w:rPr>
              <w:t>Large-scale curriculum projects in science and mathematics in the 1960s, such as the Biological Sciences Curriculum Study (BCSC), the Physical Science Study Committee (PSSC), and the Chemical Bond Approach (CBA), benefited academically talented learners (Gallagher, 2002)</w:t>
            </w:r>
            <w:r w:rsidR="009739FE" w:rsidRPr="00F40195">
              <w:rPr>
                <w:szCs w:val="24"/>
              </w:rPr>
              <w:t xml:space="preserve">. </w:t>
            </w:r>
            <w:r w:rsidRPr="00F40195">
              <w:rPr>
                <w:szCs w:val="24"/>
              </w:rPr>
              <w:t>Further, curriculum projects in the 1990s designed to increase the achievement of talented learners in core content areas such as language arts, science, and social studies produced academic gains in persuasive writing and literary analysis (VanTassel-Baska, Johnson, Hughes &amp; Boyce, 1996; VanTassell-Baska, Zuo, Avery &amp; Little, 2002), scientific understanding of variables (VanTassel-Baska, Bass, Ries, Poland &amp; Avery, 1998), and problem generation and social studies content acquisition (Gallagher &amp; Stepien, 1996; Gallagher, Stepien &amp; Rosenthal, 1992).</w:t>
            </w:r>
          </w:p>
          <w:p w:rsidR="007D26E2" w:rsidRPr="00F40195" w:rsidRDefault="007D26E2" w:rsidP="00F40195">
            <w:pPr>
              <w:rPr>
                <w:szCs w:val="24"/>
              </w:rPr>
            </w:pPr>
          </w:p>
          <w:p w:rsidR="007D26E2" w:rsidRPr="00F40195" w:rsidRDefault="007D26E2" w:rsidP="00F40195">
            <w:pPr>
              <w:rPr>
                <w:szCs w:val="24"/>
              </w:rPr>
            </w:pPr>
            <w:r w:rsidRPr="00F40195">
              <w:rPr>
                <w:szCs w:val="24"/>
                <w:u w:val="single"/>
              </w:rPr>
              <w:t>Access to acceleration</w:t>
            </w:r>
            <w:r w:rsidR="009739FE" w:rsidRPr="00F40195">
              <w:rPr>
                <w:szCs w:val="24"/>
              </w:rPr>
              <w:t xml:space="preserve">. </w:t>
            </w:r>
            <w:r w:rsidRPr="00F40195">
              <w:rPr>
                <w:szCs w:val="24"/>
              </w:rPr>
              <w:t>Because academically talented students learn quickly, one effective option for serving them is acceleration of the curriculum</w:t>
            </w:r>
            <w:r w:rsidR="009739FE" w:rsidRPr="00F40195">
              <w:rPr>
                <w:szCs w:val="24"/>
              </w:rPr>
              <w:t xml:space="preserve">. </w:t>
            </w:r>
            <w:r w:rsidRPr="00F40195">
              <w:rPr>
                <w:szCs w:val="24"/>
              </w:rPr>
              <w:t>Many educators and members of the general public believe acceleration always means skipping a grade</w:t>
            </w:r>
            <w:r w:rsidR="009739FE" w:rsidRPr="00F40195">
              <w:rPr>
                <w:szCs w:val="24"/>
              </w:rPr>
              <w:t xml:space="preserve">. </w:t>
            </w:r>
            <w:r w:rsidRPr="00F40195">
              <w:rPr>
                <w:szCs w:val="24"/>
              </w:rPr>
              <w:t>However, there are at least 17 different types of acceleration ranging from curriculum compacting (which reduces the amount of time students spend on material) to subject matter acceleration (going to a higher grade level for one class) to high school course options like Advanced Placement or concurrent credit (Southern, Jones &amp; Stanley, 1993)</w:t>
            </w:r>
            <w:r w:rsidR="009739FE" w:rsidRPr="00F40195">
              <w:rPr>
                <w:szCs w:val="24"/>
              </w:rPr>
              <w:t xml:space="preserve">. </w:t>
            </w:r>
            <w:r w:rsidRPr="00F40195">
              <w:rPr>
                <w:szCs w:val="24"/>
              </w:rPr>
              <w:t xml:space="preserve">In some cases, acceleration means </w:t>
            </w:r>
            <w:r w:rsidRPr="00F40195">
              <w:rPr>
                <w:i/>
                <w:szCs w:val="24"/>
              </w:rPr>
              <w:t>content</w:t>
            </w:r>
            <w:r w:rsidRPr="00F40195">
              <w:rPr>
                <w:szCs w:val="24"/>
              </w:rPr>
              <w:t xml:space="preserve"> acceleration, which brings more complex material to the student at his or her current grade level</w:t>
            </w:r>
            <w:r w:rsidR="009739FE" w:rsidRPr="00F40195">
              <w:rPr>
                <w:szCs w:val="24"/>
              </w:rPr>
              <w:t xml:space="preserve">. </w:t>
            </w:r>
            <w:r w:rsidRPr="00F40195">
              <w:rPr>
                <w:szCs w:val="24"/>
              </w:rPr>
              <w:t xml:space="preserve">In other cases, acceleration means </w:t>
            </w:r>
            <w:r w:rsidRPr="00F40195">
              <w:rPr>
                <w:i/>
                <w:szCs w:val="24"/>
              </w:rPr>
              <w:t>student</w:t>
            </w:r>
            <w:r w:rsidRPr="00F40195">
              <w:rPr>
                <w:szCs w:val="24"/>
              </w:rPr>
              <w:t xml:space="preserve"> acceleration, which brings the student to the material by shifting placement</w:t>
            </w:r>
            <w:r w:rsidR="009739FE" w:rsidRPr="00F40195">
              <w:rPr>
                <w:szCs w:val="24"/>
              </w:rPr>
              <w:t xml:space="preserve">. </w:t>
            </w:r>
            <w:r w:rsidRPr="00F40195">
              <w:rPr>
                <w:szCs w:val="24"/>
              </w:rPr>
              <w:t>Reviews of the research on different forms of acceleration have been conducted across several decades and consistently report the positive effects of acceleration on student achievement (Kulik &amp; Kulik, 1984; Southern, Jones &amp; Stanley, 1993), including Advanced Placement classes  (Bleske-Rechek, Lubinski &amp; Benbow, 2004)</w:t>
            </w:r>
            <w:r w:rsidR="009739FE" w:rsidRPr="00F40195">
              <w:rPr>
                <w:szCs w:val="24"/>
              </w:rPr>
              <w:t xml:space="preserve">. </w:t>
            </w:r>
            <w:r w:rsidRPr="00F40195">
              <w:rPr>
                <w:szCs w:val="24"/>
              </w:rPr>
              <w:t>Multiple studies also report participant satisfaction with acceleration and benign effects on social and psychological development.</w:t>
            </w:r>
          </w:p>
          <w:p w:rsidR="007D26E2" w:rsidRPr="00F40195" w:rsidRDefault="007D26E2" w:rsidP="00F40195">
            <w:pPr>
              <w:rPr>
                <w:szCs w:val="24"/>
              </w:rPr>
            </w:pPr>
          </w:p>
          <w:p w:rsidR="007D26E2" w:rsidRPr="00F40195" w:rsidRDefault="007D26E2" w:rsidP="00F40195">
            <w:pPr>
              <w:rPr>
                <w:szCs w:val="24"/>
              </w:rPr>
            </w:pPr>
            <w:r w:rsidRPr="00F40195">
              <w:rPr>
                <w:szCs w:val="24"/>
                <w:u w:val="single"/>
              </w:rPr>
              <w:t>Access to trained teachers</w:t>
            </w:r>
            <w:r w:rsidR="009739FE" w:rsidRPr="00F40195">
              <w:rPr>
                <w:szCs w:val="24"/>
              </w:rPr>
              <w:t xml:space="preserve">. </w:t>
            </w:r>
            <w:r w:rsidRPr="00F40195">
              <w:rPr>
                <w:szCs w:val="24"/>
              </w:rPr>
              <w:t>Research and teacher reports indicate that general classroom teachers make very few, if any, modifications for academically talented learners (Archambault, et al, 1993), even though talented students have mastered 40 to 50 percent of the elementary curriculum before the school year begins</w:t>
            </w:r>
            <w:r w:rsidR="009739FE" w:rsidRPr="00F40195">
              <w:rPr>
                <w:szCs w:val="24"/>
              </w:rPr>
              <w:t xml:space="preserve">. </w:t>
            </w:r>
            <w:r w:rsidRPr="00F40195">
              <w:rPr>
                <w:szCs w:val="24"/>
              </w:rPr>
              <w:t>In contrast, teachers who receive appropriate training are more likely to provide classroom instruction that meets the needs of talented learners</w:t>
            </w:r>
            <w:r w:rsidR="009739FE" w:rsidRPr="00F40195">
              <w:rPr>
                <w:szCs w:val="24"/>
              </w:rPr>
              <w:t xml:space="preserve">. </w:t>
            </w:r>
            <w:r w:rsidRPr="00F40195">
              <w:rPr>
                <w:szCs w:val="24"/>
              </w:rPr>
              <w:t xml:space="preserve"> Students report differences among teachers who have had such training, and independent observers in the classroom document the benefit of this training as well (Hansen &amp; Feldhusen, 1994)</w:t>
            </w:r>
            <w:r w:rsidR="009739FE" w:rsidRPr="00F40195">
              <w:rPr>
                <w:szCs w:val="24"/>
              </w:rPr>
              <w:t xml:space="preserve">. </w:t>
            </w:r>
            <w:r w:rsidRPr="00F40195">
              <w:rPr>
                <w:szCs w:val="24"/>
              </w:rPr>
              <w:t xml:space="preserve">Curriculum and instructional adaptation requires the support of a specially trained coach </w:t>
            </w:r>
            <w:r w:rsidRPr="00F40195">
              <w:rPr>
                <w:szCs w:val="24"/>
              </w:rPr>
              <w:lastRenderedPageBreak/>
              <w:t>at the building level, which could be embedded in the instructional facilitators recommended above (Reis &amp; Purcell, 1993)</w:t>
            </w:r>
            <w:r w:rsidR="009739FE" w:rsidRPr="00F40195">
              <w:rPr>
                <w:szCs w:val="24"/>
              </w:rPr>
              <w:t xml:space="preserve">. </w:t>
            </w:r>
            <w:r w:rsidRPr="00F40195">
              <w:rPr>
                <w:szCs w:val="24"/>
              </w:rPr>
              <w:t>Overall, learning outcomes for high ability learners are increased when they have access to programs whose staff have specialized training in working with high ability learners, which could be accomplished with the professional development resources recommended below.</w:t>
            </w:r>
          </w:p>
          <w:p w:rsidR="00234BF1" w:rsidRDefault="00234BF1" w:rsidP="00F40195">
            <w:pPr>
              <w:rPr>
                <w:szCs w:val="24"/>
                <w:u w:val="single"/>
              </w:rPr>
            </w:pPr>
          </w:p>
          <w:p w:rsidR="007D26E2" w:rsidRPr="00F40195" w:rsidRDefault="007D26E2" w:rsidP="00F40195">
            <w:pPr>
              <w:rPr>
                <w:szCs w:val="24"/>
              </w:rPr>
            </w:pPr>
            <w:r w:rsidRPr="00F40195">
              <w:rPr>
                <w:szCs w:val="24"/>
                <w:u w:val="single"/>
              </w:rPr>
              <w:t>Practice implications</w:t>
            </w:r>
            <w:r w:rsidR="009739FE" w:rsidRPr="00F40195">
              <w:rPr>
                <w:szCs w:val="24"/>
              </w:rPr>
              <w:t xml:space="preserve">. </w:t>
            </w:r>
            <w:r w:rsidRPr="00F40195">
              <w:rPr>
                <w:szCs w:val="24"/>
              </w:rPr>
              <w:t>At the elementary and middle school level, our understanding of the research on best practices is to place gifted students in special classes compris</w:t>
            </w:r>
            <w:r w:rsidR="00234BF1">
              <w:rPr>
                <w:szCs w:val="24"/>
              </w:rPr>
              <w:t>ing</w:t>
            </w:r>
            <w:r w:rsidRPr="00F40195">
              <w:rPr>
                <w:szCs w:val="24"/>
              </w:rPr>
              <w:t xml:space="preserve"> all gifted students and accelerate their instruction because such students can learn much more in a given time period than other students. When the pull out and acceleration approach is not possible, an alternative is to have these students skip grades in order to be exposed to accelerated instruction</w:t>
            </w:r>
            <w:r w:rsidR="009739FE" w:rsidRPr="00F40195">
              <w:rPr>
                <w:szCs w:val="24"/>
              </w:rPr>
              <w:t xml:space="preserve">. </w:t>
            </w:r>
            <w:r w:rsidRPr="00F40195">
              <w:rPr>
                <w:szCs w:val="24"/>
              </w:rPr>
              <w:t>Research shows that neither of these practices produces social adjustment problems</w:t>
            </w:r>
            <w:r w:rsidR="009739FE" w:rsidRPr="00F40195">
              <w:rPr>
                <w:szCs w:val="24"/>
              </w:rPr>
              <w:t xml:space="preserve">. </w:t>
            </w:r>
            <w:r w:rsidRPr="00F40195">
              <w:rPr>
                <w:szCs w:val="24"/>
              </w:rPr>
              <w:t>Many gifted students get bored and sometimes restless in classrooms that do not have accelerated instruction</w:t>
            </w:r>
            <w:r w:rsidR="009739FE" w:rsidRPr="00F40195">
              <w:rPr>
                <w:szCs w:val="24"/>
              </w:rPr>
              <w:t xml:space="preserve">. </w:t>
            </w:r>
            <w:r w:rsidRPr="00F40195">
              <w:rPr>
                <w:szCs w:val="24"/>
              </w:rPr>
              <w:t>Both of these strategies have little or no cost, except for scheduling and training of teachers (which is covered in the professional development staffing).</w:t>
            </w:r>
          </w:p>
          <w:p w:rsidR="007D26E2" w:rsidRPr="00F40195" w:rsidRDefault="007D26E2" w:rsidP="00F40195">
            <w:pPr>
              <w:rPr>
                <w:szCs w:val="24"/>
              </w:rPr>
            </w:pPr>
          </w:p>
          <w:p w:rsidR="007D26E2" w:rsidRPr="00F40195" w:rsidRDefault="007D26E2" w:rsidP="00F40195">
            <w:pPr>
              <w:rPr>
                <w:szCs w:val="24"/>
              </w:rPr>
            </w:pPr>
            <w:r w:rsidRPr="00F40195">
              <w:rPr>
                <w:szCs w:val="24"/>
              </w:rPr>
              <w:t>The primary approach to serve gifted students in high schools is to enroll them in advanced courses – advanced placement (AP), International Baccalaureate (IB) – to participate in dual enrollment in postsecondary institutions, or to have them take courses through distance learning mechanisms.</w:t>
            </w:r>
          </w:p>
          <w:p w:rsidR="007D26E2" w:rsidRPr="00F40195" w:rsidRDefault="007D26E2" w:rsidP="00F40195">
            <w:pPr>
              <w:rPr>
                <w:szCs w:val="24"/>
              </w:rPr>
            </w:pPr>
          </w:p>
          <w:p w:rsidR="00B94CC1" w:rsidRPr="00F40195" w:rsidRDefault="007D26E2" w:rsidP="00F40195">
            <w:pPr>
              <w:rPr>
                <w:szCs w:val="24"/>
              </w:rPr>
            </w:pPr>
            <w:r w:rsidRPr="00F40195">
              <w:rPr>
                <w:szCs w:val="24"/>
              </w:rPr>
              <w:t xml:space="preserve">We confirmed our understanding of best practices for the gifted and talented </w:t>
            </w:r>
            <w:r w:rsidR="00234BF1">
              <w:rPr>
                <w:szCs w:val="24"/>
              </w:rPr>
              <w:t xml:space="preserve">on research prior to 2005 </w:t>
            </w:r>
            <w:r w:rsidRPr="00F40195">
              <w:rPr>
                <w:szCs w:val="24"/>
              </w:rPr>
              <w:t>with the directors of three of the Gifted and Talented research centers in the United States: Dr. Elissa Brown, Director of the Center for Gifted Education, College of William &amp; Mary; Dr. Joseph Renzulli, The National Research Center on the Gifted and Talented at the University of Connecticut; and Dr. Ann Robinson, Director of the Center for Gifted Education at the University of Arkansas at Little Rock.</w:t>
            </w:r>
          </w:p>
        </w:tc>
      </w:tr>
    </w:tbl>
    <w:p w:rsidR="003A0229" w:rsidRPr="00F40195" w:rsidRDefault="003A0229" w:rsidP="00F40195">
      <w:pPr>
        <w:spacing w:line="240" w:lineRule="auto"/>
        <w:rPr>
          <w:rFonts w:cs="Times New Roman"/>
        </w:rPr>
      </w:pPr>
    </w:p>
    <w:p w:rsidR="00D73E7C" w:rsidRDefault="00D73E7C">
      <w:pPr>
        <w:rPr>
          <w:rFonts w:eastAsiaTheme="majorEastAsia" w:cs="Times New Roman"/>
          <w:b/>
          <w:bCs/>
          <w:szCs w:val="24"/>
        </w:rPr>
      </w:pPr>
      <w:r>
        <w:br w:type="page"/>
      </w:r>
    </w:p>
    <w:p w:rsidR="006B6B73" w:rsidRPr="00F40195" w:rsidRDefault="006B6B73" w:rsidP="008D674A">
      <w:pPr>
        <w:pStyle w:val="Heading3"/>
      </w:pPr>
      <w:bookmarkStart w:id="103" w:name="_Toc395180692"/>
      <w:r w:rsidRPr="00F40195">
        <w:lastRenderedPageBreak/>
        <w:t>C.</w:t>
      </w:r>
      <w:r w:rsidR="008028E2" w:rsidRPr="00F40195">
        <w:t>1</w:t>
      </w:r>
      <w:r w:rsidR="00B94CC1" w:rsidRPr="00F40195">
        <w:t>4</w:t>
      </w:r>
      <w:r w:rsidR="008028E2" w:rsidRPr="00F40195">
        <w:t xml:space="preserve"> </w:t>
      </w:r>
      <w:r w:rsidRPr="00F40195">
        <w:t>Career and Technical Education</w:t>
      </w:r>
      <w:bookmarkEnd w:id="103"/>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Default="00D81689" w:rsidP="00F40195">
            <w:pPr>
              <w:rPr>
                <w:szCs w:val="24"/>
              </w:rPr>
            </w:pPr>
            <w:r w:rsidRPr="003D442F">
              <w:rPr>
                <w:szCs w:val="24"/>
              </w:rPr>
              <w:t>There is no specific provision in the KY SEEK formula for this element</w:t>
            </w:r>
            <w:r w:rsidR="009739FE" w:rsidRPr="003D442F">
              <w:rPr>
                <w:szCs w:val="24"/>
              </w:rPr>
              <w:t>.</w:t>
            </w:r>
            <w:r w:rsidR="009739FE" w:rsidRPr="00F40195">
              <w:rPr>
                <w:szCs w:val="24"/>
              </w:rPr>
              <w:t xml:space="preserve"> </w:t>
            </w:r>
          </w:p>
          <w:p w:rsidR="00357628" w:rsidRPr="00F40195" w:rsidRDefault="00357628" w:rsidP="00F40195">
            <w:pPr>
              <w:rPr>
                <w:b/>
              </w:rPr>
            </w:pPr>
          </w:p>
        </w:tc>
        <w:tc>
          <w:tcPr>
            <w:tcW w:w="4788" w:type="dxa"/>
          </w:tcPr>
          <w:p w:rsidR="00AC576B" w:rsidRPr="00F40195" w:rsidRDefault="00C364C1" w:rsidP="00BD1A57">
            <w:pPr>
              <w:rPr>
                <w:b/>
              </w:rPr>
            </w:pPr>
            <w:r w:rsidRPr="00F40195">
              <w:rPr>
                <w:szCs w:val="24"/>
              </w:rPr>
              <w:t>Most programs recommend class sizes of 25, consistent with the national median and the EB model. Professional development and most of the computer technologies would be covered by the professional development and computer resources provided by the EB model. Some of the PLTW concentration areas require a one-time purchase of expensive equipment, which can be covered by the $9,000 per career-technical education teacher in the EB model.</w:t>
            </w: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pPr>
              <w:rPr>
                <w:szCs w:val="24"/>
              </w:rPr>
            </w:pPr>
            <w:r w:rsidRPr="00F40195">
              <w:rPr>
                <w:b/>
              </w:rPr>
              <w:t>Advisory Committee Recommendation</w:t>
            </w:r>
          </w:p>
        </w:tc>
      </w:tr>
      <w:tr w:rsidR="00C85A07" w:rsidRPr="00F40195">
        <w:tc>
          <w:tcPr>
            <w:tcW w:w="4788" w:type="dxa"/>
          </w:tcPr>
          <w:p w:rsidR="00C85A07" w:rsidRPr="00F40195" w:rsidRDefault="00D64AD1" w:rsidP="00F40195">
            <w:pPr>
              <w:rPr>
                <w:szCs w:val="24"/>
              </w:rPr>
            </w:pPr>
            <w:r w:rsidRPr="00F40195">
              <w:rPr>
                <w:rFonts w:eastAsiaTheme="minorHAnsi"/>
                <w:szCs w:val="22"/>
              </w:rPr>
              <w:t>Same as EB Model</w:t>
            </w:r>
            <w:r w:rsidR="00AC576B">
              <w:rPr>
                <w:rFonts w:eastAsiaTheme="minorHAnsi"/>
                <w:szCs w:val="22"/>
              </w:rPr>
              <w:t>.</w:t>
            </w:r>
          </w:p>
        </w:tc>
        <w:tc>
          <w:tcPr>
            <w:tcW w:w="4788" w:type="dxa"/>
          </w:tcPr>
          <w:p w:rsidR="00C85A07" w:rsidRPr="00F40195" w:rsidRDefault="00D64AD1" w:rsidP="00F40195">
            <w:pPr>
              <w:rPr>
                <w:szCs w:val="24"/>
              </w:rPr>
            </w:pPr>
            <w:r w:rsidRPr="00F40195">
              <w:t>Would lik</w:t>
            </w:r>
            <w:r w:rsidR="00AC576B">
              <w:t>e more discussion of the levels</w:t>
            </w:r>
            <w:r w:rsidRPr="00F40195">
              <w:t xml:space="preserve"> (both in type and </w:t>
            </w:r>
            <w:r w:rsidR="004C2F91" w:rsidRPr="00F40195">
              <w:t>bureaucracy</w:t>
            </w:r>
            <w:r w:rsidRPr="00F40195">
              <w:t xml:space="preserve"> of support given to different CTE programs</w:t>
            </w:r>
            <w:r w:rsidR="004C2F91" w:rsidRPr="00F40195">
              <w:t>). Separate review requested.</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CF7C65" w:rsidRPr="00F40195" w:rsidRDefault="00CF7C65" w:rsidP="00F40195">
            <w:pPr>
              <w:rPr>
                <w:szCs w:val="24"/>
              </w:rPr>
            </w:pPr>
            <w:r w:rsidRPr="00F40195">
              <w:rPr>
                <w:szCs w:val="24"/>
              </w:rPr>
              <w:t>Career and technical education programs are bridges to postsecondary licensure and/or additional training that ha</w:t>
            </w:r>
            <w:r w:rsidR="002E3F94" w:rsidRPr="00F40195">
              <w:rPr>
                <w:szCs w:val="24"/>
              </w:rPr>
              <w:t>ve</w:t>
            </w:r>
            <w:r w:rsidRPr="00F40195">
              <w:rPr>
                <w:szCs w:val="24"/>
              </w:rPr>
              <w:t xml:space="preserve"> become essential in the 21</w:t>
            </w:r>
            <w:r w:rsidRPr="00F40195">
              <w:rPr>
                <w:szCs w:val="24"/>
                <w:vertAlign w:val="superscript"/>
              </w:rPr>
              <w:t>st</w:t>
            </w:r>
            <w:r w:rsidRPr="00F40195">
              <w:rPr>
                <w:szCs w:val="24"/>
              </w:rPr>
              <w:t xml:space="preserve"> century economy. It is the one area in public education with a direct career connection. Community colleges are struggling to keep up with the high cost of the kinds of equipment necessary to train for the most technical careers, but they are finding the means by partnering with businesses to maintain their capacity to prepare their graduates for the changing labor market.</w:t>
            </w:r>
          </w:p>
          <w:p w:rsidR="00CF7C65" w:rsidRPr="00F40195" w:rsidRDefault="00CF7C65" w:rsidP="00F40195">
            <w:pPr>
              <w:rPr>
                <w:szCs w:val="24"/>
              </w:rPr>
            </w:pPr>
          </w:p>
          <w:p w:rsidR="006B6B73" w:rsidRPr="00AC576B" w:rsidRDefault="00CF7C65" w:rsidP="00F40195">
            <w:pPr>
              <w:rPr>
                <w:szCs w:val="24"/>
              </w:rPr>
            </w:pPr>
            <w:r w:rsidRPr="00F40195">
              <w:rPr>
                <w:szCs w:val="24"/>
              </w:rPr>
              <w:t xml:space="preserve">The situation facing high school is somewhat different. </w:t>
            </w:r>
            <w:r w:rsidR="002E3F94" w:rsidRPr="00F40195">
              <w:rPr>
                <w:szCs w:val="24"/>
              </w:rPr>
              <w:t>A</w:t>
            </w:r>
            <w:r w:rsidR="006B6B73" w:rsidRPr="00F40195">
              <w:rPr>
                <w:szCs w:val="24"/>
              </w:rPr>
              <w:t xml:space="preserve"> review conducted for a Wisconsin school finance adequacy task force</w:t>
            </w:r>
            <w:r w:rsidR="002E3F94" w:rsidRPr="00F40195">
              <w:rPr>
                <w:szCs w:val="24"/>
              </w:rPr>
              <w:t xml:space="preserve"> by </w:t>
            </w:r>
            <w:r w:rsidR="006B6B73" w:rsidRPr="00F40195">
              <w:rPr>
                <w:szCs w:val="24"/>
              </w:rPr>
              <w:t xml:space="preserve">a national expert (Phelps, 2006) concluded that the best of the new career-technical programs did not cost more, </w:t>
            </w:r>
            <w:r w:rsidR="001E508B" w:rsidRPr="00F40195">
              <w:rPr>
                <w:szCs w:val="24"/>
              </w:rPr>
              <w:t xml:space="preserve">according to a finance adequacy review, </w:t>
            </w:r>
            <w:r w:rsidR="006B6B73" w:rsidRPr="00F40195">
              <w:rPr>
                <w:szCs w:val="24"/>
              </w:rPr>
              <w:t xml:space="preserve">especially if the district and state made adequate provisions for professional development </w:t>
            </w:r>
            <w:r w:rsidR="001A7878" w:rsidRPr="00F40195">
              <w:rPr>
                <w:szCs w:val="24"/>
              </w:rPr>
              <w:t xml:space="preserve">and computer technologies </w:t>
            </w:r>
            <w:r w:rsidR="001E508B" w:rsidRPr="00F40195">
              <w:rPr>
                <w:szCs w:val="24"/>
              </w:rPr>
              <w:t>(Phelps, 2006)</w:t>
            </w:r>
            <w:r w:rsidR="009739FE" w:rsidRPr="00F40195">
              <w:rPr>
                <w:szCs w:val="24"/>
              </w:rPr>
              <w:t xml:space="preserve">. </w:t>
            </w:r>
            <w:r w:rsidR="006B6B73" w:rsidRPr="00F40195">
              <w:rPr>
                <w:szCs w:val="24"/>
              </w:rPr>
              <w:t>These conclusions generally were confirmed by a cost analysis (Odden &amp; Picus, 2010) of Project Lead the Way (PLTW), one of the most highly rated and “expensive” career</w:t>
            </w:r>
            <w:r w:rsidRPr="00F40195">
              <w:rPr>
                <w:szCs w:val="24"/>
              </w:rPr>
              <w:t xml:space="preserve"> and </w:t>
            </w:r>
            <w:r w:rsidR="006B6B73" w:rsidRPr="00F40195">
              <w:rPr>
                <w:szCs w:val="24"/>
              </w:rPr>
              <w:t>technical</w:t>
            </w:r>
            <w:r w:rsidRPr="00F40195">
              <w:rPr>
                <w:szCs w:val="24"/>
              </w:rPr>
              <w:t xml:space="preserve"> education</w:t>
            </w:r>
            <w:r w:rsidR="006B6B73" w:rsidRPr="00F40195">
              <w:rPr>
                <w:szCs w:val="24"/>
              </w:rPr>
              <w:t xml:space="preserve"> programs in the country.</w:t>
            </w:r>
          </w:p>
        </w:tc>
      </w:tr>
    </w:tbl>
    <w:p w:rsidR="00E63C40" w:rsidRPr="00F40195" w:rsidRDefault="00E63C40" w:rsidP="00F40195">
      <w:pPr>
        <w:spacing w:line="240" w:lineRule="auto"/>
        <w:rPr>
          <w:rFonts w:cs="Times New Roman"/>
        </w:rPr>
      </w:pPr>
    </w:p>
    <w:p w:rsidR="00CF7C65" w:rsidRPr="00F40195" w:rsidRDefault="00CF7C65" w:rsidP="00F40195">
      <w:pPr>
        <w:spacing w:line="240" w:lineRule="auto"/>
        <w:rPr>
          <w:rFonts w:eastAsiaTheme="majorEastAsia" w:cs="Times New Roman"/>
          <w:b/>
          <w:bCs/>
          <w:caps/>
          <w:szCs w:val="24"/>
        </w:rPr>
      </w:pPr>
      <w:r w:rsidRPr="00F40195">
        <w:rPr>
          <w:rFonts w:cs="Times New Roman"/>
        </w:rPr>
        <w:br w:type="page"/>
      </w:r>
    </w:p>
    <w:p w:rsidR="00337DAC" w:rsidRPr="00F40195" w:rsidRDefault="006B6B73" w:rsidP="007162A8">
      <w:pPr>
        <w:pStyle w:val="Heading2"/>
      </w:pPr>
      <w:bookmarkStart w:id="104" w:name="_Toc395180693"/>
      <w:r w:rsidRPr="00F40195">
        <w:lastRenderedPageBreak/>
        <w:t>D. Additional Staffing and Resource Needs</w:t>
      </w:r>
      <w:bookmarkEnd w:id="104"/>
    </w:p>
    <w:p w:rsidR="006B6B73" w:rsidRPr="00F40195" w:rsidRDefault="006B6B73" w:rsidP="00F40195">
      <w:pPr>
        <w:spacing w:line="240" w:lineRule="auto"/>
        <w:rPr>
          <w:rFonts w:cs="Times New Roman"/>
        </w:rPr>
      </w:pPr>
      <w:r w:rsidRPr="00F40195">
        <w:rPr>
          <w:rFonts w:cs="Times New Roman"/>
        </w:rPr>
        <w:t>This section completes the identification of resources for the prototypical schools and includes discussions of substitute teachers, pupil support personnel, librarians, aides, school administration, professional development, and allocations of dollars per pupil to fund other items.</w:t>
      </w:r>
    </w:p>
    <w:p w:rsidR="006B6B73" w:rsidRPr="00F40195" w:rsidRDefault="006B6B73" w:rsidP="008D674A">
      <w:pPr>
        <w:pStyle w:val="Heading3"/>
      </w:pPr>
      <w:bookmarkStart w:id="105" w:name="_Toc395180694"/>
      <w:r w:rsidRPr="00F40195">
        <w:t>D.15 Substitute Teachers</w:t>
      </w:r>
      <w:bookmarkEnd w:id="105"/>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D81689"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E26F66" w:rsidRPr="00F40195" w:rsidRDefault="006B6B73" w:rsidP="00AE6EAB">
            <w:pPr>
              <w:rPr>
                <w:b/>
              </w:rPr>
            </w:pPr>
            <w:r w:rsidRPr="00F40195">
              <w:t xml:space="preserve">The EB model includes resources for substitute teachers at the ratio of 5 percent of all teacher positions (which provides about 10 days per teacher on a </w:t>
            </w:r>
            <w:r w:rsidR="00AE6EAB">
              <w:t>188</w:t>
            </w:r>
            <w:r w:rsidRPr="00F40195">
              <w:t xml:space="preserve"> day teacher year).</w:t>
            </w:r>
          </w:p>
        </w:tc>
      </w:tr>
      <w:tr w:rsidR="00C85A07" w:rsidRPr="00F40195">
        <w:tc>
          <w:tcPr>
            <w:tcW w:w="4788" w:type="dxa"/>
          </w:tcPr>
          <w:p w:rsidR="00C85A07" w:rsidRPr="00F40195" w:rsidRDefault="00C85A07" w:rsidP="00F40195">
            <w:pPr>
              <w:rPr>
                <w:szCs w:val="24"/>
              </w:rPr>
            </w:pPr>
            <w:r w:rsidRPr="00F40195">
              <w:rPr>
                <w:b/>
              </w:rPr>
              <w:t>Stakeholder Panel Recommendation</w:t>
            </w:r>
          </w:p>
        </w:tc>
        <w:tc>
          <w:tcPr>
            <w:tcW w:w="4788" w:type="dxa"/>
          </w:tcPr>
          <w:p w:rsidR="00C85A07" w:rsidRPr="00F40195" w:rsidRDefault="00C85A07" w:rsidP="00F40195">
            <w:r w:rsidRPr="00F40195">
              <w:rPr>
                <w:b/>
              </w:rPr>
              <w:t>Advisory Committee Recommendation</w:t>
            </w:r>
          </w:p>
        </w:tc>
      </w:tr>
      <w:tr w:rsidR="00C85A07" w:rsidRPr="00F40195">
        <w:tc>
          <w:tcPr>
            <w:tcW w:w="4788" w:type="dxa"/>
          </w:tcPr>
          <w:p w:rsidR="00C85A07" w:rsidRPr="00F40195" w:rsidRDefault="008C7616" w:rsidP="00844962">
            <w:pPr>
              <w:pStyle w:val="Default"/>
            </w:pPr>
            <w:r w:rsidRPr="00F40195">
              <w:rPr>
                <w:rFonts w:eastAsiaTheme="minorHAnsi"/>
                <w:szCs w:val="22"/>
              </w:rPr>
              <w:t>Same as EB Model</w:t>
            </w:r>
            <w:r w:rsidR="00E26F66">
              <w:rPr>
                <w:rFonts w:eastAsiaTheme="minorHAnsi"/>
                <w:szCs w:val="22"/>
              </w:rPr>
              <w:t>.</w:t>
            </w:r>
          </w:p>
        </w:tc>
        <w:tc>
          <w:tcPr>
            <w:tcW w:w="4788" w:type="dxa"/>
          </w:tcPr>
          <w:p w:rsidR="00C85A07" w:rsidRPr="00F40195" w:rsidRDefault="008C7616" w:rsidP="00E26F66">
            <w:r w:rsidRPr="00F40195">
              <w:t>Same as EB Model</w:t>
            </w:r>
            <w:r w:rsidR="00E26F66">
              <w:t>.</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E26F66" w:rsidRPr="00E26F66" w:rsidRDefault="006B6B73" w:rsidP="00934E17">
            <w:r w:rsidRPr="00F40195">
              <w:t>Schools need some level of substitute teacher allocations in order to cover classrooms when teachers are sick for one or two days, absent for other reasons, on long term sick or pregnancy leave, etc</w:t>
            </w:r>
            <w:r w:rsidR="009739FE" w:rsidRPr="00F40195">
              <w:t xml:space="preserve">. </w:t>
            </w:r>
            <w:r w:rsidRPr="00F40195">
              <w:t xml:space="preserve">A good approximation of the substitute resources needed is to add an additional five percent of teachers </w:t>
            </w:r>
            <w:r w:rsidR="00E63C40" w:rsidRPr="00F40195">
              <w:t xml:space="preserve">to </w:t>
            </w:r>
            <w:r w:rsidRPr="00F40195">
              <w:t xml:space="preserve">the sum of all teacher positions identified above, a standard we have used </w:t>
            </w:r>
            <w:r w:rsidR="00E63C40" w:rsidRPr="00F40195">
              <w:t xml:space="preserve">successfully </w:t>
            </w:r>
            <w:r w:rsidRPr="00F40195">
              <w:t xml:space="preserve">in other states and </w:t>
            </w:r>
            <w:r w:rsidR="00E63C40" w:rsidRPr="00F40195">
              <w:t xml:space="preserve">consistent with </w:t>
            </w:r>
            <w:r w:rsidRPr="00F40195">
              <w:t>typical practice.</w:t>
            </w:r>
          </w:p>
        </w:tc>
      </w:tr>
    </w:tbl>
    <w:p w:rsidR="006B6B73" w:rsidRPr="00F40195" w:rsidRDefault="006B6B73" w:rsidP="008D674A">
      <w:pPr>
        <w:pStyle w:val="Heading3"/>
      </w:pPr>
      <w:bookmarkStart w:id="106" w:name="_Toc395180695"/>
      <w:r w:rsidRPr="00F40195">
        <w:t>D.16 Student Support</w:t>
      </w:r>
      <w:bookmarkEnd w:id="106"/>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D81689" w:rsidP="00F40195">
            <w:pPr>
              <w:contextualSpacing/>
              <w:rPr>
                <w:rFonts w:eastAsiaTheme="minorHAnsi"/>
                <w:b/>
                <w:szCs w:val="22"/>
              </w:rPr>
            </w:pPr>
            <w:r w:rsidRPr="00F40195">
              <w:rPr>
                <w:szCs w:val="24"/>
              </w:rPr>
              <w:t>There is no specific provision in the KY SEEK formula for this element</w:t>
            </w:r>
            <w:r w:rsidR="009739FE" w:rsidRPr="00F40195">
              <w:rPr>
                <w:szCs w:val="24"/>
              </w:rPr>
              <w:t xml:space="preserve">. </w:t>
            </w:r>
          </w:p>
        </w:tc>
        <w:tc>
          <w:tcPr>
            <w:tcW w:w="4788" w:type="dxa"/>
          </w:tcPr>
          <w:p w:rsidR="001866F4" w:rsidRPr="00F40195" w:rsidRDefault="001866F4" w:rsidP="00F40195">
            <w:r w:rsidRPr="00F40195">
              <w:t>Staffing ratios are:</w:t>
            </w:r>
          </w:p>
          <w:p w:rsidR="00630F38" w:rsidRPr="00F40195" w:rsidRDefault="00630F38" w:rsidP="00F40195">
            <w:pPr>
              <w:pStyle w:val="ListParagraph"/>
              <w:numPr>
                <w:ilvl w:val="0"/>
                <w:numId w:val="19"/>
              </w:numPr>
              <w:rPr>
                <w:rFonts w:eastAsiaTheme="minorHAnsi"/>
                <w:szCs w:val="22"/>
              </w:rPr>
            </w:pPr>
            <w:r w:rsidRPr="00F40195">
              <w:t>One (1) guidance counselor for every 450 elementary school students</w:t>
            </w:r>
            <w:r w:rsidR="00767651" w:rsidRPr="00F40195">
              <w:t xml:space="preserve"> (grades K-5)</w:t>
            </w:r>
          </w:p>
          <w:p w:rsidR="00C36392" w:rsidRPr="00F40195" w:rsidRDefault="00C36392" w:rsidP="00F40195">
            <w:pPr>
              <w:pStyle w:val="ListParagraph"/>
              <w:numPr>
                <w:ilvl w:val="0"/>
                <w:numId w:val="19"/>
              </w:numPr>
              <w:rPr>
                <w:rFonts w:eastAsiaTheme="minorHAnsi"/>
                <w:szCs w:val="22"/>
              </w:rPr>
            </w:pPr>
            <w:r w:rsidRPr="00F40195">
              <w:t xml:space="preserve">One (1) guidance counselor for every 250 middle school students (grades 6-8) </w:t>
            </w:r>
          </w:p>
          <w:p w:rsidR="00630F38" w:rsidRPr="00F40195" w:rsidRDefault="001866F4" w:rsidP="00F40195">
            <w:pPr>
              <w:pStyle w:val="ListParagraph"/>
              <w:numPr>
                <w:ilvl w:val="0"/>
                <w:numId w:val="19"/>
              </w:numPr>
              <w:rPr>
                <w:rFonts w:eastAsiaTheme="minorHAnsi"/>
                <w:szCs w:val="22"/>
              </w:rPr>
            </w:pPr>
            <w:r w:rsidRPr="00F40195">
              <w:t>O</w:t>
            </w:r>
            <w:r w:rsidR="006B6B73" w:rsidRPr="00F40195">
              <w:t>ne</w:t>
            </w:r>
            <w:r w:rsidR="00630F38" w:rsidRPr="00F40195">
              <w:t xml:space="preserve"> (1) </w:t>
            </w:r>
            <w:r w:rsidR="006B6B73" w:rsidRPr="00F40195">
              <w:t xml:space="preserve">counselor for every 250 </w:t>
            </w:r>
            <w:r w:rsidR="00630F38" w:rsidRPr="00F40195">
              <w:t xml:space="preserve">Grade 9-12 </w:t>
            </w:r>
            <w:r w:rsidR="006B6B73" w:rsidRPr="00F40195">
              <w:t>students</w:t>
            </w:r>
            <w:r w:rsidR="0040209D" w:rsidRPr="00F40195">
              <w:t>.</w:t>
            </w:r>
          </w:p>
          <w:p w:rsidR="00630F38" w:rsidRPr="00F40195" w:rsidRDefault="00630F38" w:rsidP="00F40195">
            <w:pPr>
              <w:pStyle w:val="ListParagraph"/>
              <w:numPr>
                <w:ilvl w:val="0"/>
                <w:numId w:val="19"/>
              </w:numPr>
              <w:rPr>
                <w:rFonts w:eastAsiaTheme="minorHAnsi"/>
                <w:b/>
                <w:bCs/>
                <w:color w:val="365F91" w:themeColor="accent1" w:themeShade="BF"/>
                <w:szCs w:val="22"/>
                <w:lang w:eastAsia="ja-JP"/>
              </w:rPr>
            </w:pPr>
            <w:r w:rsidRPr="00F40195">
              <w:t>One (1)</w:t>
            </w:r>
            <w:r w:rsidR="006B6B73" w:rsidRPr="00F40195">
              <w:t xml:space="preserve"> nurse for every 750 </w:t>
            </w:r>
            <w:r w:rsidRPr="00F40195">
              <w:t>s</w:t>
            </w:r>
            <w:r w:rsidR="006B6B73" w:rsidRPr="00F40195">
              <w:t>tudents</w:t>
            </w:r>
          </w:p>
          <w:p w:rsidR="006B6B73" w:rsidRPr="00F40195" w:rsidRDefault="00630F38" w:rsidP="00F40195">
            <w:pPr>
              <w:pStyle w:val="ListParagraph"/>
              <w:numPr>
                <w:ilvl w:val="0"/>
                <w:numId w:val="19"/>
              </w:numPr>
              <w:rPr>
                <w:rFonts w:eastAsiaTheme="minorHAnsi"/>
                <w:szCs w:val="22"/>
              </w:rPr>
            </w:pPr>
            <w:r w:rsidRPr="00F40195">
              <w:t>O</w:t>
            </w:r>
            <w:r w:rsidR="006B6B73" w:rsidRPr="00F40195">
              <w:t xml:space="preserve">ne </w:t>
            </w:r>
            <w:r w:rsidRPr="00F40195">
              <w:t xml:space="preserve">(1) </w:t>
            </w:r>
            <w:r w:rsidR="006B6B73" w:rsidRPr="00F40195">
              <w:t>professional pupi</w:t>
            </w:r>
            <w:r w:rsidR="000B0FAB" w:rsidRPr="00F40195">
              <w:t xml:space="preserve">l support position for every </w:t>
            </w:r>
            <w:r w:rsidR="0014103A" w:rsidRPr="00F40195">
              <w:t>1</w:t>
            </w:r>
            <w:r w:rsidR="00DB2A29" w:rsidRPr="00F40195">
              <w:t>0</w:t>
            </w:r>
            <w:r w:rsidR="00B9037A" w:rsidRPr="00F40195">
              <w:t>0</w:t>
            </w:r>
            <w:r w:rsidR="0014103A" w:rsidRPr="00F40195">
              <w:t xml:space="preserve"> </w:t>
            </w:r>
            <w:r w:rsidR="006B6B73" w:rsidRPr="00F40195">
              <w:t xml:space="preserve">students eligible for free and reduced price lunch </w:t>
            </w:r>
          </w:p>
          <w:p w:rsidR="0046458E" w:rsidRPr="00F40195" w:rsidRDefault="0046458E" w:rsidP="00F40195"/>
          <w:p w:rsidR="006B6B73" w:rsidRDefault="006B6B73" w:rsidP="00BD1A57">
            <w:pPr>
              <w:rPr>
                <w:b/>
              </w:rPr>
            </w:pPr>
            <w:r w:rsidRPr="00F40195">
              <w:t>These staffing provisions enable districts and schools to allocate FTE staff to serve as guidance counselors, nurses, psychologists, and social workers, in a way that best addresses student needs from the perspective of each district and school.</w:t>
            </w:r>
          </w:p>
          <w:p w:rsidR="00BD1A57" w:rsidRPr="00F40195" w:rsidRDefault="00BD1A57" w:rsidP="00BD1A57">
            <w:pPr>
              <w:rPr>
                <w:b/>
              </w:rPr>
            </w:pPr>
          </w:p>
        </w:tc>
      </w:tr>
      <w:tr w:rsidR="00C85A07" w:rsidRPr="00F40195">
        <w:tc>
          <w:tcPr>
            <w:tcW w:w="4788" w:type="dxa"/>
          </w:tcPr>
          <w:p w:rsidR="00C85A07" w:rsidRPr="00F40195" w:rsidRDefault="00C85A07" w:rsidP="00F40195">
            <w:pPr>
              <w:contextualSpacing/>
              <w:rPr>
                <w:szCs w:val="24"/>
              </w:rPr>
            </w:pPr>
            <w:r w:rsidRPr="00F40195">
              <w:rPr>
                <w:b/>
              </w:rPr>
              <w:lastRenderedPageBreak/>
              <w:t>Stakeholder Panel Recommendation</w:t>
            </w:r>
          </w:p>
        </w:tc>
        <w:tc>
          <w:tcPr>
            <w:tcW w:w="4788" w:type="dxa"/>
          </w:tcPr>
          <w:p w:rsidR="00C85A07" w:rsidRPr="00F40195" w:rsidRDefault="00C85A07" w:rsidP="00F40195">
            <w:r w:rsidRPr="00F40195">
              <w:rPr>
                <w:b/>
              </w:rPr>
              <w:t>Advisory Committee Recommendation</w:t>
            </w:r>
          </w:p>
        </w:tc>
      </w:tr>
      <w:tr w:rsidR="00C85A07" w:rsidRPr="00F40195">
        <w:tc>
          <w:tcPr>
            <w:tcW w:w="4788" w:type="dxa"/>
          </w:tcPr>
          <w:p w:rsidR="00C85A07" w:rsidRPr="00F40195" w:rsidRDefault="008C7616" w:rsidP="00F40195">
            <w:pPr>
              <w:contextualSpacing/>
              <w:rPr>
                <w:szCs w:val="24"/>
              </w:rPr>
            </w:pPr>
            <w:r w:rsidRPr="00F40195">
              <w:rPr>
                <w:rFonts w:eastAsiaTheme="minorHAnsi"/>
                <w:szCs w:val="22"/>
              </w:rPr>
              <w:t>Same as EB Model</w:t>
            </w:r>
            <w:r w:rsidR="00603132" w:rsidRPr="00F40195">
              <w:rPr>
                <w:rFonts w:eastAsiaTheme="minorHAnsi"/>
                <w:szCs w:val="22"/>
              </w:rPr>
              <w:t>.</w:t>
            </w:r>
          </w:p>
        </w:tc>
        <w:tc>
          <w:tcPr>
            <w:tcW w:w="4788" w:type="dxa"/>
          </w:tcPr>
          <w:p w:rsidR="00C85A07" w:rsidRPr="00F40195" w:rsidRDefault="008C7616" w:rsidP="00F40195">
            <w:r w:rsidRPr="00F40195">
              <w:t>Same</w:t>
            </w:r>
            <w:r w:rsidR="00D36C32" w:rsidRPr="00F40195">
              <w:t xml:space="preserve"> </w:t>
            </w:r>
            <w:r w:rsidRPr="00F40195">
              <w:t xml:space="preserve">as EB </w:t>
            </w:r>
            <w:proofErr w:type="gramStart"/>
            <w:r w:rsidRPr="00F40195">
              <w:t>Model</w:t>
            </w:r>
            <w:r w:rsidR="00D36C32" w:rsidRPr="00F40195">
              <w:t>,</w:t>
            </w:r>
            <w:proofErr w:type="gramEnd"/>
            <w:r w:rsidR="00D36C32" w:rsidRPr="00F40195">
              <w:t xml:space="preserve"> though suggest that current counselors spend most of their time with formative and summative testing rather than guidance; an additional position may be appropriate for these latter duties.</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CA59D9" w:rsidP="00F40195">
            <w:r w:rsidRPr="00F40195">
              <w:t>Schools need a student support strategy that is responsive to student needs</w:t>
            </w:r>
            <w:r w:rsidR="00971740" w:rsidRPr="00F40195">
              <w:t xml:space="preserve"> and specific to grade levels needs. For instance, schools serving students in areas of concentrated poverty may require a </w:t>
            </w:r>
            <w:r w:rsidR="00364E1C" w:rsidRPr="00F40195">
              <w:t>complex</w:t>
            </w:r>
            <w:r w:rsidR="00971740" w:rsidRPr="00F40195">
              <w:t xml:space="preserve"> strategy </w:t>
            </w:r>
            <w:r w:rsidR="00364E1C" w:rsidRPr="00F40195">
              <w:t>whereas</w:t>
            </w:r>
            <w:r w:rsidR="00971740" w:rsidRPr="00F40195">
              <w:t xml:space="preserve"> schools serving students concentrations of high poverty English learners</w:t>
            </w:r>
            <w:r w:rsidR="00364E1C" w:rsidRPr="00F40195">
              <w:t xml:space="preserve"> will require even greater complexity</w:t>
            </w:r>
            <w:r w:rsidR="00971740" w:rsidRPr="00F40195">
              <w:t xml:space="preserve">. Elementary students need different support strategies than do middle and high schools. </w:t>
            </w:r>
            <w:r w:rsidR="006B6B73" w:rsidRPr="00F40195">
              <w:t>Various comprehensive school designs have suggested different ways to provide such a program strategy (Stringfield, Ross &amp; Smith, 1996; for further discussion, see Brabeck, Walsh &amp; Latta, 2003)</w:t>
            </w:r>
            <w:r w:rsidR="009739FE" w:rsidRPr="00F40195">
              <w:t xml:space="preserve">. </w:t>
            </w:r>
            <w:r w:rsidR="006B6B73" w:rsidRPr="00F40195">
              <w:t>The general standard is one lic</w:t>
            </w:r>
            <w:r w:rsidR="000B0FAB" w:rsidRPr="00F40195">
              <w:t xml:space="preserve">ensed </w:t>
            </w:r>
            <w:r w:rsidR="0014103A" w:rsidRPr="00F40195">
              <w:t xml:space="preserve">professional for every 100 </w:t>
            </w:r>
            <w:r w:rsidR="006B6B73" w:rsidRPr="00F40195">
              <w:t>students from a low-income background, with a minimum of one for each prototypical school.</w:t>
            </w:r>
          </w:p>
          <w:p w:rsidR="00971740" w:rsidRPr="00F40195" w:rsidRDefault="00971740" w:rsidP="00F40195"/>
          <w:p w:rsidR="001866F4" w:rsidRPr="00F40195" w:rsidRDefault="001866F4" w:rsidP="00F40195">
            <w:r w:rsidRPr="00F40195">
              <w:t>The EB model uses the standards from the American School Counselor Association (ASCA), which is one counselor for every 250 secondary students</w:t>
            </w:r>
            <w:r w:rsidR="009739FE" w:rsidRPr="00F40195">
              <w:t xml:space="preserve">. </w:t>
            </w:r>
            <w:r w:rsidRPr="00F40195">
              <w:t>This produces 1.8 guidance counselor positions in the prototypical middle school and 2.4 guidance counselors in the prototypical high schools</w:t>
            </w:r>
            <w:r w:rsidR="009739FE" w:rsidRPr="00F40195">
              <w:t xml:space="preserve">. </w:t>
            </w:r>
            <w:r w:rsidRPr="00F40195">
              <w:t xml:space="preserve">Because most states also require a guidance counselor in elementary schools at about the size of our 450 student prototypical elementary school, the EB model also includes one </w:t>
            </w:r>
            <w:r w:rsidR="000B0FAB" w:rsidRPr="00F40195">
              <w:t>guidance counselor at the level.</w:t>
            </w:r>
          </w:p>
          <w:p w:rsidR="002C1AC5" w:rsidRPr="00F40195" w:rsidRDefault="002C1AC5" w:rsidP="00F40195"/>
          <w:p w:rsidR="001866F4" w:rsidRPr="00F40195" w:rsidRDefault="001866F4" w:rsidP="00F40195">
            <w:r w:rsidRPr="00F40195">
              <w:t>The EB model provides school nurses at the rate of 1 FTE nurse position for every 750 students, the staffing standard of the American School Nurse Association.</w:t>
            </w:r>
          </w:p>
          <w:p w:rsidR="000B0FAB" w:rsidRPr="00F40195" w:rsidRDefault="000B0FAB" w:rsidP="00F40195">
            <w:pPr>
              <w:rPr>
                <w:rFonts w:eastAsiaTheme="minorHAnsi"/>
                <w:szCs w:val="22"/>
              </w:rPr>
            </w:pPr>
          </w:p>
          <w:p w:rsidR="001866F4" w:rsidRPr="00F40195" w:rsidRDefault="001866F4" w:rsidP="00F40195">
            <w:r w:rsidRPr="00F40195">
              <w:t>The EB model provides additional pupil support personnel to schools on the basis of free and reduced price lunch counts, an indicator of m</w:t>
            </w:r>
            <w:r w:rsidR="00B334F2" w:rsidRPr="00F40195">
              <w:t xml:space="preserve">ore non-academic </w:t>
            </w:r>
            <w:r w:rsidR="008C7616" w:rsidRPr="00F40195">
              <w:t>need</w:t>
            </w:r>
            <w:r w:rsidR="009739FE" w:rsidRPr="00F40195">
              <w:t xml:space="preserve">. </w:t>
            </w:r>
            <w:r w:rsidRPr="00F40195">
              <w:t>The EB model provides one professional pupil support position for every 1</w:t>
            </w:r>
            <w:r w:rsidR="00C44543">
              <w:t>0</w:t>
            </w:r>
            <w:r w:rsidR="002C1AC5" w:rsidRPr="00F40195">
              <w:t>0</w:t>
            </w:r>
            <w:r w:rsidRPr="00F40195">
              <w:t xml:space="preserve"> students eligible for free and reduced price lunch, in addition to the above counselor and nurse staff</w:t>
            </w:r>
            <w:r w:rsidR="009739FE" w:rsidRPr="00F40195">
              <w:t xml:space="preserve">. </w:t>
            </w:r>
          </w:p>
          <w:p w:rsidR="002C1AC5" w:rsidRPr="00F40195" w:rsidRDefault="002C1AC5" w:rsidP="00F40195"/>
          <w:p w:rsidR="006B6B73" w:rsidRPr="00F40195" w:rsidRDefault="001866F4" w:rsidP="00F40195">
            <w:r w:rsidRPr="00F40195">
              <w:t>These staffing provisions enable districts and schools to allocate FTE staff to serve as guidance counselors, nurses, psychologists, and social workers, in a way that best addresses student needs from the perspectiv</w:t>
            </w:r>
            <w:r w:rsidR="00B334F2" w:rsidRPr="00F40195">
              <w:t xml:space="preserve">e of each district and school. </w:t>
            </w:r>
          </w:p>
        </w:tc>
      </w:tr>
    </w:tbl>
    <w:p w:rsidR="00BD1A57" w:rsidRDefault="00BD1A57" w:rsidP="008D674A">
      <w:pPr>
        <w:pStyle w:val="Heading3"/>
      </w:pPr>
      <w:bookmarkStart w:id="107" w:name="_Toc47974478"/>
    </w:p>
    <w:p w:rsidR="00BD1A57" w:rsidRDefault="00BD1A57">
      <w:pPr>
        <w:rPr>
          <w:rFonts w:eastAsiaTheme="majorEastAsia" w:cs="Times New Roman"/>
          <w:b/>
          <w:bCs/>
          <w:szCs w:val="24"/>
        </w:rPr>
      </w:pPr>
      <w:r>
        <w:br w:type="page"/>
      </w:r>
    </w:p>
    <w:p w:rsidR="006B6B73" w:rsidRPr="00F40195" w:rsidRDefault="006B6B73" w:rsidP="008D674A">
      <w:pPr>
        <w:pStyle w:val="Heading3"/>
      </w:pPr>
      <w:bookmarkStart w:id="108" w:name="_Toc395180696"/>
      <w:r w:rsidRPr="00F40195">
        <w:lastRenderedPageBreak/>
        <w:t xml:space="preserve">D.17 </w:t>
      </w:r>
      <w:r w:rsidR="00D81689" w:rsidRPr="00F40195">
        <w:t xml:space="preserve">Supervisory </w:t>
      </w:r>
      <w:r w:rsidRPr="00F40195">
        <w:t>Aides</w:t>
      </w:r>
      <w:r w:rsidR="008C7616" w:rsidRPr="00F40195">
        <w:t>/Instructional Aides</w:t>
      </w:r>
      <w:bookmarkEnd w:id="108"/>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D81689"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8C7CA3" w:rsidRPr="00F40195" w:rsidRDefault="008C7CA3" w:rsidP="00F40195">
            <w:r w:rsidRPr="00F40195">
              <w:t>Staffing ratios are:</w:t>
            </w:r>
          </w:p>
          <w:p w:rsidR="008C7CA3" w:rsidRPr="00F40195" w:rsidRDefault="00291C74" w:rsidP="00F40195">
            <w:pPr>
              <w:pStyle w:val="ListParagraph"/>
              <w:numPr>
                <w:ilvl w:val="0"/>
                <w:numId w:val="20"/>
              </w:numPr>
              <w:rPr>
                <w:rFonts w:eastAsiaTheme="minorHAnsi"/>
                <w:szCs w:val="22"/>
              </w:rPr>
            </w:pPr>
            <w:r w:rsidRPr="00F40195">
              <w:t>One (1)</w:t>
            </w:r>
            <w:r w:rsidR="006B6B73" w:rsidRPr="00F40195">
              <w:t xml:space="preserve"> FTE supervisory aide position for </w:t>
            </w:r>
            <w:r w:rsidRPr="00F40195">
              <w:t>every 225</w:t>
            </w:r>
            <w:r w:rsidR="006B6B73" w:rsidRPr="00F40195">
              <w:t xml:space="preserve"> elementary and middle school</w:t>
            </w:r>
            <w:r w:rsidRPr="00F40195">
              <w:t xml:space="preserve"> students</w:t>
            </w:r>
          </w:p>
          <w:p w:rsidR="006B6B73" w:rsidRPr="00F40195" w:rsidRDefault="00291C74" w:rsidP="00F40195">
            <w:pPr>
              <w:pStyle w:val="ListParagraph"/>
              <w:numPr>
                <w:ilvl w:val="0"/>
                <w:numId w:val="20"/>
              </w:numPr>
              <w:rPr>
                <w:rFonts w:eastAsiaTheme="minorHAnsi"/>
                <w:szCs w:val="22"/>
              </w:rPr>
            </w:pPr>
            <w:r w:rsidRPr="00F40195">
              <w:t>One (1</w:t>
            </w:r>
            <w:r w:rsidR="008C7CA3" w:rsidRPr="00F40195">
              <w:t>)</w:t>
            </w:r>
            <w:r w:rsidR="006B6B73" w:rsidRPr="00F40195">
              <w:t xml:space="preserve"> FTE supervisory aide position for </w:t>
            </w:r>
            <w:r w:rsidRPr="00F40195">
              <w:t>every 100</w:t>
            </w:r>
            <w:r w:rsidR="006B6B73" w:rsidRPr="00F40195">
              <w:t xml:space="preserve"> high school</w:t>
            </w:r>
            <w:r w:rsidRPr="00F40195">
              <w:t xml:space="preserve"> students</w:t>
            </w:r>
          </w:p>
          <w:p w:rsidR="00021183" w:rsidRPr="00F40195" w:rsidRDefault="00021183" w:rsidP="00F40195"/>
          <w:p w:rsidR="00096ADF" w:rsidRPr="00F40195" w:rsidRDefault="00A85468" w:rsidP="00BD1A57">
            <w:r w:rsidRPr="00F40195">
              <w:t>The EB model also includes 1 instructional aide position for every 15 Pre</w:t>
            </w:r>
            <w:r w:rsidR="00480FA4" w:rsidRPr="00F40195">
              <w:t>-</w:t>
            </w:r>
            <w:r w:rsidRPr="00F40195">
              <w:t>K students.</w:t>
            </w:r>
          </w:p>
        </w:tc>
      </w:tr>
      <w:tr w:rsidR="00664B27" w:rsidRPr="00F40195">
        <w:tc>
          <w:tcPr>
            <w:tcW w:w="4788" w:type="dxa"/>
          </w:tcPr>
          <w:p w:rsidR="00664B27" w:rsidRPr="00F40195" w:rsidRDefault="00664B27" w:rsidP="00F40195">
            <w:pPr>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603132" w:rsidP="00844962">
            <w:pPr>
              <w:pStyle w:val="Default"/>
            </w:pPr>
            <w:r w:rsidRPr="00F40195">
              <w:rPr>
                <w:rFonts w:eastAsiaTheme="minorHAnsi"/>
                <w:szCs w:val="22"/>
              </w:rPr>
              <w:t>Same as EB Model.</w:t>
            </w:r>
          </w:p>
        </w:tc>
        <w:tc>
          <w:tcPr>
            <w:tcW w:w="4788" w:type="dxa"/>
          </w:tcPr>
          <w:p w:rsidR="00664B27" w:rsidRPr="00F40195" w:rsidRDefault="00603132" w:rsidP="00096ADF">
            <w:r w:rsidRPr="00F40195">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B437A0" w:rsidP="00F40195">
            <w:r w:rsidRPr="00F40195">
              <w:t>I</w:t>
            </w:r>
            <w:r w:rsidR="006B6B73" w:rsidRPr="00F40195">
              <w:t>nstructional aides</w:t>
            </w:r>
            <w:r w:rsidRPr="00F40195">
              <w:t>, as they are typically used</w:t>
            </w:r>
            <w:r w:rsidR="006B6B73" w:rsidRPr="00F40195">
              <w:t xml:space="preserve"> in schools</w:t>
            </w:r>
            <w:r w:rsidRPr="00F40195">
              <w:t>,</w:t>
            </w:r>
            <w:r w:rsidR="006B6B73" w:rsidRPr="00F40195">
              <w:t xml:space="preserve"> do not positively impact student academic achievement (Gerber, Finn, Achilles &amp; Boyd-Zaharias, 2001).</w:t>
            </w:r>
            <w:r w:rsidRPr="00F40195">
              <w:t xml:space="preserve"> They</w:t>
            </w:r>
            <w:r w:rsidR="006B6B73" w:rsidRPr="00F40195">
              <w:t xml:space="preserve"> could be used to tutor students</w:t>
            </w:r>
            <w:r w:rsidR="009739FE" w:rsidRPr="00F40195">
              <w:t xml:space="preserve">. </w:t>
            </w:r>
            <w:r w:rsidR="006B6B73" w:rsidRPr="00F40195">
              <w:t>Farkas (1998) has shown that if aides are selected according to clear and rigorous literacy criteria, are trained in a specific reading tutoring program, provide individual tutoring to students in reading, and are supervised, then they can have a significant impact on student reading attainment. Another study by Miller (2003) showed that such aides could also have an impact on reading achievement if used to provide individual tutoring to struggling students in the first grade.</w:t>
            </w:r>
            <w:r w:rsidRPr="00F40195">
              <w:t xml:space="preserve"> N</w:t>
            </w:r>
            <w:r w:rsidR="006B6B73" w:rsidRPr="00F40195">
              <w:t>either of these studies supports the typical use of instructional aides as teacher helpers.</w:t>
            </w:r>
          </w:p>
        </w:tc>
      </w:tr>
    </w:tbl>
    <w:p w:rsidR="006B6B73" w:rsidRPr="00F40195" w:rsidRDefault="006B6B73" w:rsidP="008D674A">
      <w:pPr>
        <w:pStyle w:val="Heading3"/>
      </w:pPr>
      <w:bookmarkStart w:id="109" w:name="_Toc395180697"/>
      <w:r w:rsidRPr="00F40195">
        <w:t>D.18 Librarians</w:t>
      </w:r>
      <w:bookmarkEnd w:id="109"/>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C92602"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F15604" w:rsidRPr="00F40195" w:rsidRDefault="00F15604" w:rsidP="00F40195">
            <w:r w:rsidRPr="00F40195">
              <w:t>Staffing ratios are:</w:t>
            </w:r>
          </w:p>
          <w:p w:rsidR="00F15604" w:rsidRPr="00F40195" w:rsidRDefault="00F15604" w:rsidP="00F40195">
            <w:pPr>
              <w:pStyle w:val="ListParagraph"/>
              <w:numPr>
                <w:ilvl w:val="0"/>
                <w:numId w:val="21"/>
              </w:numPr>
              <w:rPr>
                <w:rFonts w:eastAsiaTheme="minorHAnsi"/>
                <w:szCs w:val="22"/>
              </w:rPr>
            </w:pPr>
            <w:r w:rsidRPr="00F40195">
              <w:t>O</w:t>
            </w:r>
            <w:r w:rsidR="006B6B73" w:rsidRPr="00F40195">
              <w:t xml:space="preserve">ne </w:t>
            </w:r>
            <w:r w:rsidRPr="00F40195">
              <w:t xml:space="preserve">(1) </w:t>
            </w:r>
            <w:r w:rsidR="006B6B73" w:rsidRPr="00F40195">
              <w:t>librarian for e</w:t>
            </w:r>
            <w:r w:rsidRPr="00F40195">
              <w:t>very</w:t>
            </w:r>
            <w:r w:rsidR="006B6B73" w:rsidRPr="00F40195">
              <w:t xml:space="preserve"> </w:t>
            </w:r>
            <w:r w:rsidRPr="00F40195">
              <w:t xml:space="preserve">450 </w:t>
            </w:r>
            <w:r w:rsidR="003F1019" w:rsidRPr="00F40195">
              <w:t xml:space="preserve">student </w:t>
            </w:r>
            <w:r w:rsidRPr="00F40195">
              <w:t xml:space="preserve">elementary and middle school </w:t>
            </w:r>
          </w:p>
          <w:p w:rsidR="006B6B73" w:rsidRPr="0088358A" w:rsidRDefault="00F15604" w:rsidP="00F40195">
            <w:pPr>
              <w:pStyle w:val="ListParagraph"/>
              <w:numPr>
                <w:ilvl w:val="0"/>
                <w:numId w:val="21"/>
              </w:numPr>
              <w:rPr>
                <w:rFonts w:eastAsiaTheme="minorHAnsi"/>
                <w:b/>
                <w:szCs w:val="22"/>
              </w:rPr>
            </w:pPr>
            <w:r w:rsidRPr="00F40195">
              <w:t xml:space="preserve">One (1) librarian for every 600 </w:t>
            </w:r>
            <w:r w:rsidR="003F1019" w:rsidRPr="00F40195">
              <w:t xml:space="preserve">student </w:t>
            </w:r>
            <w:r w:rsidRPr="00F40195">
              <w:t xml:space="preserve">high school </w:t>
            </w:r>
          </w:p>
          <w:p w:rsidR="0088358A" w:rsidRPr="00F40195" w:rsidRDefault="0088358A" w:rsidP="0088358A">
            <w:pPr>
              <w:pStyle w:val="ListParagraph"/>
              <w:rPr>
                <w:rFonts w:eastAsiaTheme="minorHAnsi"/>
                <w:b/>
                <w:szCs w:val="22"/>
              </w:rPr>
            </w:pPr>
          </w:p>
        </w:tc>
      </w:tr>
      <w:tr w:rsidR="00664B27" w:rsidRPr="00F40195">
        <w:tc>
          <w:tcPr>
            <w:tcW w:w="4788" w:type="dxa"/>
          </w:tcPr>
          <w:p w:rsidR="00664B27" w:rsidRPr="00F40195" w:rsidRDefault="00664B27" w:rsidP="00F40195">
            <w:pPr>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D36C32" w:rsidP="00BD1A57">
            <w:pPr>
              <w:pStyle w:val="Default"/>
            </w:pPr>
            <w:r w:rsidRPr="00F40195">
              <w:t>Same as EB Model with a desire to maintain librarians in necessarily small schools.</w:t>
            </w:r>
          </w:p>
        </w:tc>
        <w:tc>
          <w:tcPr>
            <w:tcW w:w="4788" w:type="dxa"/>
          </w:tcPr>
          <w:p w:rsidR="00664B27" w:rsidRPr="00F40195" w:rsidRDefault="00D36C32" w:rsidP="00F40195">
            <w:r w:rsidRPr="00F40195">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2D4D47" w:rsidRPr="00F40195" w:rsidRDefault="006F49AF" w:rsidP="00F40195">
            <w:r w:rsidRPr="00F40195">
              <w:t>There is little academic research on the impact of libraries on student achievement, but in 2003 six states conducted</w:t>
            </w:r>
            <w:r w:rsidRPr="00F40195">
              <w:rPr>
                <w:strike/>
              </w:rPr>
              <w:t xml:space="preserve"> </w:t>
            </w:r>
            <w:r w:rsidRPr="00F40195">
              <w:t>studies of the impacts of libraries on student achievement: Florida, Minnesota, Michigan, Missouri, New Mexico, and North Carolina. And</w:t>
            </w:r>
            <w:r w:rsidR="000B0FAB" w:rsidRPr="00F40195">
              <w:t>,</w:t>
            </w:r>
            <w:r w:rsidRPr="00F40195">
              <w:t xml:space="preserve"> in 2012 Colorado conducted a statewide study using data from 2005-2011. The general finding is that children with access to endorsed librarians working full time perform better on state reading assessments regardless of income level</w:t>
            </w:r>
            <w:r w:rsidR="002527B6" w:rsidRPr="00F40195">
              <w:t xml:space="preserve"> (Rodney, M.J., Lance, K.C. &amp; Hamilton-Rennell, C, 2003; Lance, K.C. &amp; Hofschire, L, 2012)</w:t>
            </w:r>
            <w:r w:rsidRPr="00F40195">
              <w:t xml:space="preserve">. The Michigan study found that regardless of whether the librarian </w:t>
            </w:r>
            <w:r w:rsidRPr="00F40195">
              <w:lastRenderedPageBreak/>
              <w:t>was endorsed, student achievement was better for low-income children, but having an endorsed librarian was associated with higher achievement than having an unendorsed librarian</w:t>
            </w:r>
            <w:r w:rsidR="002527B6" w:rsidRPr="00F40195">
              <w:t xml:space="preserve"> (Rodney, M.J., Lance, K.C. &amp; Hamilton-Rennell, C, 2003)</w:t>
            </w:r>
            <w:r w:rsidRPr="00F40195">
              <w:t>. Each state examined the issue differently, but library staffing and the number of operating hours were generally associated with higher academic outcomes.</w:t>
            </w:r>
          </w:p>
        </w:tc>
      </w:tr>
    </w:tbl>
    <w:p w:rsidR="006B6B73" w:rsidRPr="00F40195" w:rsidRDefault="006B6B73" w:rsidP="008D674A">
      <w:pPr>
        <w:pStyle w:val="Heading3"/>
      </w:pPr>
      <w:bookmarkStart w:id="110" w:name="_Toc395180698"/>
      <w:r w:rsidRPr="00F40195">
        <w:lastRenderedPageBreak/>
        <w:t>D.19 Principal</w:t>
      </w:r>
      <w:bookmarkEnd w:id="107"/>
      <w:bookmarkEnd w:id="110"/>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A12F2E" w:rsidRPr="00F40195" w:rsidRDefault="00C92602"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66428B" w:rsidRPr="00F40195" w:rsidRDefault="0066428B" w:rsidP="00F40195">
            <w:r w:rsidRPr="00F40195">
              <w:t>Staffing ratios are:</w:t>
            </w:r>
          </w:p>
          <w:p w:rsidR="005C450C" w:rsidRPr="00F40195" w:rsidRDefault="0066428B" w:rsidP="00F40195">
            <w:pPr>
              <w:pStyle w:val="ListParagraph"/>
              <w:numPr>
                <w:ilvl w:val="0"/>
                <w:numId w:val="21"/>
              </w:numPr>
            </w:pPr>
            <w:r w:rsidRPr="00F40195">
              <w:t xml:space="preserve">One (1) principal for every 450 </w:t>
            </w:r>
            <w:r w:rsidR="0091288E" w:rsidRPr="00F40195">
              <w:t xml:space="preserve">student </w:t>
            </w:r>
            <w:r w:rsidRPr="00F40195">
              <w:t xml:space="preserve">elementary </w:t>
            </w:r>
            <w:r w:rsidR="005C450C" w:rsidRPr="00F40195">
              <w:t>school</w:t>
            </w:r>
          </w:p>
          <w:p w:rsidR="0066428B" w:rsidRPr="00F40195" w:rsidRDefault="005C450C" w:rsidP="00F40195">
            <w:pPr>
              <w:pStyle w:val="ListParagraph"/>
              <w:numPr>
                <w:ilvl w:val="0"/>
                <w:numId w:val="21"/>
              </w:numPr>
            </w:pPr>
            <w:r w:rsidRPr="00F40195">
              <w:t xml:space="preserve">One (1) principal for every 450 student </w:t>
            </w:r>
            <w:r w:rsidR="0066428B" w:rsidRPr="00F40195">
              <w:t>middle school</w:t>
            </w:r>
          </w:p>
          <w:p w:rsidR="00A454C3" w:rsidRPr="00F40195" w:rsidRDefault="0066428B" w:rsidP="00844962">
            <w:pPr>
              <w:pStyle w:val="ListParagraph"/>
              <w:numPr>
                <w:ilvl w:val="0"/>
                <w:numId w:val="21"/>
              </w:numPr>
              <w:rPr>
                <w:rFonts w:eastAsiaTheme="minorHAnsi"/>
                <w:b/>
                <w:szCs w:val="22"/>
              </w:rPr>
            </w:pPr>
            <w:r w:rsidRPr="00F40195">
              <w:t xml:space="preserve">One (1) principal for every 600 </w:t>
            </w:r>
            <w:r w:rsidR="0091288E" w:rsidRPr="00F40195">
              <w:t xml:space="preserve">student </w:t>
            </w:r>
            <w:r w:rsidRPr="00F40195">
              <w:t>high school</w:t>
            </w:r>
          </w:p>
        </w:tc>
      </w:tr>
      <w:tr w:rsidR="00664B27" w:rsidRPr="00F40195">
        <w:tc>
          <w:tcPr>
            <w:tcW w:w="4788" w:type="dxa"/>
          </w:tcPr>
          <w:p w:rsidR="00664B27" w:rsidRPr="00F40195" w:rsidRDefault="00664B27" w:rsidP="00F40195">
            <w:pPr>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D36C32" w:rsidP="00844962">
            <w:pPr>
              <w:pStyle w:val="Default"/>
            </w:pPr>
            <w:r w:rsidRPr="00F40195">
              <w:t>Same as EB Model.</w:t>
            </w:r>
          </w:p>
        </w:tc>
        <w:tc>
          <w:tcPr>
            <w:tcW w:w="4788" w:type="dxa"/>
          </w:tcPr>
          <w:p w:rsidR="00664B27" w:rsidRPr="00F40195" w:rsidRDefault="00D36C32" w:rsidP="00F40195">
            <w:r w:rsidRPr="00F40195">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2D4D47" w:rsidRPr="00F40195" w:rsidRDefault="006B6B73" w:rsidP="00F40195">
            <w:r w:rsidRPr="00F40195">
              <w:t>There is no research evidence on the performance of schools with or without a principal</w:t>
            </w:r>
            <w:r w:rsidR="009739FE" w:rsidRPr="00F40195">
              <w:t xml:space="preserve">. </w:t>
            </w:r>
            <w:r w:rsidRPr="00F40195">
              <w:t>The fact is that essentially all schools in America, if not the world, have a principal</w:t>
            </w:r>
            <w:r w:rsidR="009739FE" w:rsidRPr="00F40195">
              <w:t xml:space="preserve">. </w:t>
            </w:r>
            <w:r w:rsidRPr="00F40195">
              <w:t xml:space="preserve">All </w:t>
            </w:r>
            <w:r w:rsidR="00D36C32" w:rsidRPr="00F40195">
              <w:t xml:space="preserve">known </w:t>
            </w:r>
            <w:r w:rsidRPr="00F40195">
              <w:t xml:space="preserve">comprehensive school designs, and all </w:t>
            </w:r>
            <w:r w:rsidR="00D36C32" w:rsidRPr="00F40195">
              <w:t xml:space="preserve">known </w:t>
            </w:r>
            <w:r w:rsidRPr="00F40195">
              <w:t xml:space="preserve">prototypical school designs from all </w:t>
            </w:r>
            <w:r w:rsidR="00D36C32" w:rsidRPr="00F40195">
              <w:t xml:space="preserve">known </w:t>
            </w:r>
            <w:r w:rsidRPr="00F40195">
              <w:t>professional judgment studies around the country, include a principal for every school unit</w:t>
            </w:r>
            <w:r w:rsidR="009739FE" w:rsidRPr="00F40195">
              <w:t xml:space="preserve">. </w:t>
            </w:r>
            <w:r w:rsidRPr="00F40195">
              <w:t>However, few if any comprehensive school designs include assistant principal positions</w:t>
            </w:r>
            <w:r w:rsidR="009739FE" w:rsidRPr="00F40195">
              <w:t xml:space="preserve">. </w:t>
            </w:r>
            <w:r w:rsidRPr="00F40195">
              <w:t>And very few school systems around the country provide assistant principals to schools with 500 students or less</w:t>
            </w:r>
            <w:r w:rsidR="009739FE" w:rsidRPr="00F40195">
              <w:t xml:space="preserve">. </w:t>
            </w:r>
            <w:r w:rsidRPr="00F40195">
              <w:t>Since we also recommend that instead of one school with a large number of students, school buildings with large numbers of students be sub-divided into multiple school units within the building, we recommend that each unit have a principal</w:t>
            </w:r>
            <w:r w:rsidR="009739FE" w:rsidRPr="00F40195">
              <w:t xml:space="preserve">. </w:t>
            </w:r>
            <w:r w:rsidRPr="00F40195">
              <w:t>This implies that one principal would be r</w:t>
            </w:r>
            <w:r w:rsidR="00DB2A29" w:rsidRPr="00F40195">
              <w:t>equired for each school unit.</w:t>
            </w:r>
          </w:p>
        </w:tc>
      </w:tr>
    </w:tbl>
    <w:p w:rsidR="00096ADF" w:rsidRDefault="00096ADF">
      <w:pPr>
        <w:rPr>
          <w:rFonts w:eastAsiaTheme="majorEastAsia" w:cs="Times New Roman"/>
          <w:b/>
          <w:bCs/>
          <w:szCs w:val="24"/>
        </w:rPr>
      </w:pPr>
      <w:r>
        <w:br w:type="page"/>
      </w:r>
    </w:p>
    <w:p w:rsidR="002D4D47" w:rsidRPr="00F40195" w:rsidRDefault="002D4D47" w:rsidP="008D674A">
      <w:pPr>
        <w:pStyle w:val="Heading3"/>
      </w:pPr>
      <w:bookmarkStart w:id="111" w:name="_Toc395180699"/>
      <w:r w:rsidRPr="00F40195">
        <w:lastRenderedPageBreak/>
        <w:t>D.</w:t>
      </w:r>
      <w:r w:rsidR="00E16A50" w:rsidRPr="00F40195">
        <w:t xml:space="preserve">20 </w:t>
      </w:r>
      <w:r w:rsidRPr="00F40195">
        <w:t>Assistant Principal</w:t>
      </w:r>
      <w:bookmarkEnd w:id="111"/>
    </w:p>
    <w:tbl>
      <w:tblPr>
        <w:tblStyle w:val="TableGrid"/>
        <w:tblW w:w="0" w:type="auto"/>
        <w:tblLook w:val="04A0" w:firstRow="1" w:lastRow="0" w:firstColumn="1" w:lastColumn="0" w:noHBand="0" w:noVBand="1"/>
      </w:tblPr>
      <w:tblGrid>
        <w:gridCol w:w="4788"/>
        <w:gridCol w:w="4788"/>
      </w:tblGrid>
      <w:tr w:rsidR="002D4D47" w:rsidRPr="00F40195" w:rsidTr="00CD259C">
        <w:tc>
          <w:tcPr>
            <w:tcW w:w="4788" w:type="dxa"/>
            <w:shd w:val="clear" w:color="auto" w:fill="C6D9F1" w:themeFill="text2" w:themeFillTint="33"/>
          </w:tcPr>
          <w:p w:rsidR="002D4D47" w:rsidRPr="00F40195" w:rsidRDefault="002D4D47" w:rsidP="00F40195">
            <w:pPr>
              <w:jc w:val="center"/>
              <w:rPr>
                <w:b/>
              </w:rPr>
            </w:pPr>
            <w:r w:rsidRPr="00F40195">
              <w:rPr>
                <w:b/>
              </w:rPr>
              <w:t>Current Kentucky Policy</w:t>
            </w:r>
          </w:p>
        </w:tc>
        <w:tc>
          <w:tcPr>
            <w:tcW w:w="4788" w:type="dxa"/>
            <w:shd w:val="clear" w:color="auto" w:fill="C6D9F1" w:themeFill="text2" w:themeFillTint="33"/>
          </w:tcPr>
          <w:p w:rsidR="002D4D47" w:rsidRPr="00F40195" w:rsidRDefault="002D4D47" w:rsidP="00F40195">
            <w:pPr>
              <w:jc w:val="center"/>
              <w:rPr>
                <w:b/>
              </w:rPr>
            </w:pPr>
            <w:r w:rsidRPr="00F40195">
              <w:rPr>
                <w:b/>
              </w:rPr>
              <w:t>Evidence-Based Model</w:t>
            </w:r>
          </w:p>
        </w:tc>
      </w:tr>
      <w:tr w:rsidR="002D4D47" w:rsidRPr="00F40195" w:rsidTr="00CD259C">
        <w:tc>
          <w:tcPr>
            <w:tcW w:w="4788" w:type="dxa"/>
          </w:tcPr>
          <w:p w:rsidR="002D4D47" w:rsidRPr="00F40195" w:rsidRDefault="002D4D47"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2D4D47" w:rsidRPr="00F40195" w:rsidRDefault="002D4D47" w:rsidP="00F40195">
            <w:r w:rsidRPr="00F40195">
              <w:t>Staffing ratios are:</w:t>
            </w:r>
          </w:p>
          <w:p w:rsidR="002D4D47" w:rsidRPr="00F40195" w:rsidRDefault="002D4D47" w:rsidP="00F40195">
            <w:pPr>
              <w:pStyle w:val="ListParagraph"/>
              <w:numPr>
                <w:ilvl w:val="0"/>
                <w:numId w:val="21"/>
              </w:numPr>
              <w:rPr>
                <w:rFonts w:eastAsiaTheme="minorHAnsi"/>
                <w:b/>
                <w:szCs w:val="22"/>
              </w:rPr>
            </w:pPr>
            <w:r w:rsidRPr="00F40195">
              <w:t xml:space="preserve">One (1) assistant principal for every 600 student high school </w:t>
            </w:r>
          </w:p>
        </w:tc>
      </w:tr>
      <w:tr w:rsidR="002D4D47" w:rsidRPr="00F40195" w:rsidTr="00CD259C">
        <w:tc>
          <w:tcPr>
            <w:tcW w:w="4788" w:type="dxa"/>
          </w:tcPr>
          <w:p w:rsidR="002D4D47" w:rsidRPr="00F40195" w:rsidRDefault="002D4D47" w:rsidP="00F40195">
            <w:pPr>
              <w:rPr>
                <w:szCs w:val="24"/>
              </w:rPr>
            </w:pPr>
            <w:r w:rsidRPr="00F40195">
              <w:rPr>
                <w:b/>
              </w:rPr>
              <w:t>Stakeholder Panel Recommendation</w:t>
            </w:r>
          </w:p>
        </w:tc>
        <w:tc>
          <w:tcPr>
            <w:tcW w:w="4788" w:type="dxa"/>
          </w:tcPr>
          <w:p w:rsidR="002D4D47" w:rsidRPr="00F40195" w:rsidRDefault="002D4D47" w:rsidP="00F40195">
            <w:r w:rsidRPr="00F40195">
              <w:rPr>
                <w:b/>
              </w:rPr>
              <w:t>Advisory Committee Recommendation</w:t>
            </w:r>
          </w:p>
        </w:tc>
      </w:tr>
      <w:tr w:rsidR="002D4D47" w:rsidRPr="00F40195" w:rsidTr="00CD259C">
        <w:tc>
          <w:tcPr>
            <w:tcW w:w="4788" w:type="dxa"/>
          </w:tcPr>
          <w:p w:rsidR="002D4D47" w:rsidRPr="00F40195" w:rsidRDefault="00603132" w:rsidP="00844962">
            <w:pPr>
              <w:pStyle w:val="Default"/>
            </w:pPr>
            <w:r w:rsidRPr="00F40195">
              <w:rPr>
                <w:rFonts w:eastAsiaTheme="minorHAnsi"/>
                <w:szCs w:val="22"/>
              </w:rPr>
              <w:t>Same as EB Model.</w:t>
            </w:r>
          </w:p>
        </w:tc>
        <w:tc>
          <w:tcPr>
            <w:tcW w:w="4788" w:type="dxa"/>
          </w:tcPr>
          <w:p w:rsidR="002D4D47" w:rsidRPr="00F40195" w:rsidRDefault="00603132" w:rsidP="00F40195">
            <w:r w:rsidRPr="00F40195">
              <w:t>Same as EB Model.</w:t>
            </w:r>
          </w:p>
        </w:tc>
      </w:tr>
      <w:tr w:rsidR="002D4D47" w:rsidRPr="00F40195" w:rsidTr="00CD259C">
        <w:tc>
          <w:tcPr>
            <w:tcW w:w="9576" w:type="dxa"/>
            <w:gridSpan w:val="2"/>
            <w:shd w:val="clear" w:color="auto" w:fill="C6D9F1" w:themeFill="text2" w:themeFillTint="33"/>
          </w:tcPr>
          <w:p w:rsidR="002D4D47" w:rsidRPr="00F40195" w:rsidRDefault="002D4D47" w:rsidP="00F40195">
            <w:pPr>
              <w:jc w:val="center"/>
              <w:rPr>
                <w:b/>
              </w:rPr>
            </w:pPr>
            <w:r w:rsidRPr="00F40195">
              <w:rPr>
                <w:b/>
              </w:rPr>
              <w:t>Analysis and Evidence</w:t>
            </w:r>
          </w:p>
        </w:tc>
      </w:tr>
      <w:tr w:rsidR="002D4D47" w:rsidRPr="00F40195" w:rsidTr="00CD259C">
        <w:tc>
          <w:tcPr>
            <w:tcW w:w="9576" w:type="dxa"/>
            <w:gridSpan w:val="2"/>
          </w:tcPr>
          <w:p w:rsidR="002D4D47" w:rsidRPr="00F40195" w:rsidRDefault="006602A0" w:rsidP="00F40195">
            <w:pPr>
              <w:rPr>
                <w:bCs/>
              </w:rPr>
            </w:pPr>
            <w:r w:rsidRPr="00F40195">
              <w:rPr>
                <w:bCs/>
              </w:rPr>
              <w:t>There is no research on the role or effectiveness of assistant principals, but just</w:t>
            </w:r>
            <w:r w:rsidR="000B568F" w:rsidRPr="00F40195">
              <w:rPr>
                <w:bCs/>
              </w:rPr>
              <w:t xml:space="preserve"> as</w:t>
            </w:r>
            <w:r w:rsidRPr="00F40195">
              <w:rPr>
                <w:bCs/>
              </w:rPr>
              <w:t xml:space="preserve"> </w:t>
            </w:r>
            <w:r w:rsidR="00F354BE" w:rsidRPr="00F40195">
              <w:rPr>
                <w:bCs/>
              </w:rPr>
              <w:t>principals</w:t>
            </w:r>
            <w:r w:rsidRPr="00F40195">
              <w:rPr>
                <w:bCs/>
              </w:rPr>
              <w:t xml:space="preserve"> are ubiquitous in schools, assistant principals are ubiquitous in large schools. The practical need for additional administrative support in large organizations is generally accepted</w:t>
            </w:r>
            <w:r w:rsidR="00F354BE" w:rsidRPr="00F40195">
              <w:rPr>
                <w:bCs/>
              </w:rPr>
              <w:t>, whether it be breaking larger schools into smaller programs and retaining additional principals, or adding additional assistant principals to deal with additional administrative and student support</w:t>
            </w:r>
            <w:r w:rsidRPr="00F40195">
              <w:rPr>
                <w:bCs/>
              </w:rPr>
              <w:t>.</w:t>
            </w:r>
          </w:p>
        </w:tc>
      </w:tr>
    </w:tbl>
    <w:p w:rsidR="006B6B73" w:rsidRPr="00F40195" w:rsidRDefault="00E16A50" w:rsidP="008D674A">
      <w:pPr>
        <w:pStyle w:val="Heading3"/>
      </w:pPr>
      <w:bookmarkStart w:id="112" w:name="_Toc395180700"/>
      <w:r w:rsidRPr="00F40195">
        <w:t>D.21</w:t>
      </w:r>
      <w:r w:rsidR="006B6B73" w:rsidRPr="00F40195">
        <w:t xml:space="preserve"> School Site Secretarial Staff</w:t>
      </w:r>
      <w:bookmarkEnd w:id="112"/>
      <w:r w:rsidR="006B6B73"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C92602"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8344B1" w:rsidRPr="00F40195" w:rsidRDefault="008344B1" w:rsidP="00F40195">
            <w:r w:rsidRPr="00F40195">
              <w:t>Staffing ratios are:</w:t>
            </w:r>
            <w:r w:rsidR="00C429C5" w:rsidRPr="00F40195">
              <w:t xml:space="preserve">  </w:t>
            </w:r>
          </w:p>
          <w:p w:rsidR="00C24EF0" w:rsidRPr="00F40195" w:rsidRDefault="005E337B" w:rsidP="00F40195">
            <w:pPr>
              <w:pStyle w:val="ListParagraph"/>
              <w:numPr>
                <w:ilvl w:val="0"/>
                <w:numId w:val="20"/>
              </w:numPr>
            </w:pPr>
            <w:r w:rsidRPr="00F40195">
              <w:t xml:space="preserve">Two </w:t>
            </w:r>
            <w:r w:rsidR="008344B1" w:rsidRPr="00F40195">
              <w:t>(</w:t>
            </w:r>
            <w:r w:rsidRPr="00F40195">
              <w:t>2</w:t>
            </w:r>
            <w:r w:rsidR="008344B1" w:rsidRPr="00F40195">
              <w:t>) FTE school clerical position</w:t>
            </w:r>
            <w:r w:rsidR="001F0649" w:rsidRPr="00F40195">
              <w:t>s</w:t>
            </w:r>
            <w:r w:rsidR="008344B1" w:rsidRPr="00F40195">
              <w:t xml:space="preserve"> for every </w:t>
            </w:r>
            <w:r w:rsidRPr="00F40195">
              <w:t>450 student</w:t>
            </w:r>
            <w:r w:rsidR="008344B1" w:rsidRPr="00F40195">
              <w:t xml:space="preserve"> elementary </w:t>
            </w:r>
            <w:r w:rsidR="00C24EF0" w:rsidRPr="00F40195">
              <w:t>school</w:t>
            </w:r>
          </w:p>
          <w:p w:rsidR="008344B1" w:rsidRPr="00F40195" w:rsidRDefault="00C24EF0" w:rsidP="00F40195">
            <w:pPr>
              <w:pStyle w:val="ListParagraph"/>
              <w:numPr>
                <w:ilvl w:val="0"/>
                <w:numId w:val="20"/>
              </w:numPr>
            </w:pPr>
            <w:r w:rsidRPr="00F40195">
              <w:t xml:space="preserve">Two (2) FTE school clerical positions for every 450 student </w:t>
            </w:r>
            <w:r w:rsidR="008344B1" w:rsidRPr="00F40195">
              <w:t>middle school</w:t>
            </w:r>
          </w:p>
          <w:p w:rsidR="008344B1" w:rsidRPr="00F40195" w:rsidRDefault="005E337B" w:rsidP="00F40195">
            <w:pPr>
              <w:pStyle w:val="ListParagraph"/>
              <w:numPr>
                <w:ilvl w:val="0"/>
                <w:numId w:val="20"/>
              </w:numPr>
            </w:pPr>
            <w:r w:rsidRPr="00F40195">
              <w:t xml:space="preserve">Three </w:t>
            </w:r>
            <w:r w:rsidR="008344B1" w:rsidRPr="00F40195">
              <w:t>(</w:t>
            </w:r>
            <w:r w:rsidRPr="00F40195">
              <w:t>3</w:t>
            </w:r>
            <w:r w:rsidR="008344B1" w:rsidRPr="00F40195">
              <w:t>) FTE school clerical position</w:t>
            </w:r>
            <w:r w:rsidR="001F0649" w:rsidRPr="00F40195">
              <w:t>s</w:t>
            </w:r>
            <w:r w:rsidR="008344B1" w:rsidRPr="00F40195">
              <w:t xml:space="preserve"> for every </w:t>
            </w:r>
            <w:r w:rsidRPr="00F40195">
              <w:t>6</w:t>
            </w:r>
            <w:r w:rsidR="008344B1" w:rsidRPr="00F40195">
              <w:t xml:space="preserve">00 </w:t>
            </w:r>
            <w:r w:rsidRPr="00F40195">
              <w:t xml:space="preserve"> </w:t>
            </w:r>
            <w:r w:rsidR="00575068" w:rsidRPr="00F40195">
              <w:t>student high</w:t>
            </w:r>
            <w:r w:rsidR="008344B1" w:rsidRPr="00F40195">
              <w:t xml:space="preserve"> school </w:t>
            </w:r>
          </w:p>
          <w:p w:rsidR="006B6B73" w:rsidRPr="00F40195" w:rsidRDefault="006B6B73" w:rsidP="00F40195">
            <w:pPr>
              <w:rPr>
                <w:b/>
              </w:rPr>
            </w:pPr>
          </w:p>
        </w:tc>
      </w:tr>
      <w:tr w:rsidR="00664B27" w:rsidRPr="00F40195">
        <w:tc>
          <w:tcPr>
            <w:tcW w:w="4788" w:type="dxa"/>
          </w:tcPr>
          <w:p w:rsidR="00664B27" w:rsidRPr="00F40195" w:rsidRDefault="00664B27" w:rsidP="00F40195">
            <w:pPr>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603132" w:rsidP="00844962">
            <w:pPr>
              <w:pStyle w:val="Default"/>
            </w:pPr>
            <w:r w:rsidRPr="00F40195">
              <w:rPr>
                <w:rFonts w:eastAsiaTheme="minorHAnsi"/>
                <w:szCs w:val="22"/>
              </w:rPr>
              <w:t>Same as EB Model.</w:t>
            </w:r>
          </w:p>
        </w:tc>
        <w:tc>
          <w:tcPr>
            <w:tcW w:w="4788" w:type="dxa"/>
          </w:tcPr>
          <w:p w:rsidR="00664B27" w:rsidRPr="00F40195" w:rsidRDefault="00603132" w:rsidP="00F40195">
            <w:r w:rsidRPr="00F40195">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8344B1" w:rsidRPr="00F40195" w:rsidRDefault="006B6B73" w:rsidP="00F40195">
            <w:r w:rsidRPr="00F40195">
              <w:t>Every school site needs secretarial support to provide clerical and administrative assistance support to administrators and teachers, to answer the telephone, greet parents when they visit the school, help with paper work, and other tasks essential to the operation of a school site.</w:t>
            </w:r>
            <w:r w:rsidR="004B4B0E" w:rsidRPr="00F40195">
              <w:t xml:space="preserve"> </w:t>
            </w:r>
          </w:p>
        </w:tc>
      </w:tr>
    </w:tbl>
    <w:p w:rsidR="00096ADF" w:rsidRDefault="00096ADF">
      <w:pPr>
        <w:rPr>
          <w:rFonts w:eastAsiaTheme="majorEastAsia" w:cs="Times New Roman"/>
          <w:b/>
          <w:bCs/>
          <w:szCs w:val="24"/>
        </w:rPr>
      </w:pPr>
      <w:r>
        <w:br w:type="page"/>
      </w:r>
    </w:p>
    <w:p w:rsidR="006B6B73" w:rsidRPr="00F40195" w:rsidRDefault="00E16A50" w:rsidP="008D674A">
      <w:pPr>
        <w:pStyle w:val="Heading3"/>
      </w:pPr>
      <w:bookmarkStart w:id="113" w:name="_Toc395180701"/>
      <w:r w:rsidRPr="00F40195">
        <w:lastRenderedPageBreak/>
        <w:t>D.22</w:t>
      </w:r>
      <w:r w:rsidR="006B6B73" w:rsidRPr="00F40195">
        <w:t xml:space="preserve"> Professional Development</w:t>
      </w:r>
      <w:bookmarkEnd w:id="113"/>
      <w:r w:rsidR="006B6B73"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C92602" w:rsidP="00F40195">
            <w:pPr>
              <w:rPr>
                <w:b/>
              </w:rPr>
            </w:pPr>
            <w:r w:rsidRPr="00F40195">
              <w:rPr>
                <w:szCs w:val="24"/>
              </w:rPr>
              <w:t>There is no specific provision in the KY SEEK formula for this element</w:t>
            </w:r>
            <w:r w:rsidR="009739FE" w:rsidRPr="00F40195">
              <w:rPr>
                <w:szCs w:val="24"/>
              </w:rPr>
              <w:t xml:space="preserve">. </w:t>
            </w:r>
          </w:p>
        </w:tc>
        <w:tc>
          <w:tcPr>
            <w:tcW w:w="4788" w:type="dxa"/>
          </w:tcPr>
          <w:p w:rsidR="000C772C" w:rsidRPr="00F40195" w:rsidRDefault="00313101" w:rsidP="00F40195">
            <w:r w:rsidRPr="00F40195">
              <w:t>The</w:t>
            </w:r>
            <w:r w:rsidR="006B6B73" w:rsidRPr="00F40195">
              <w:t xml:space="preserve"> EB model includes the following:</w:t>
            </w:r>
          </w:p>
          <w:p w:rsidR="006B6B73" w:rsidRPr="00F40195" w:rsidRDefault="000C772C" w:rsidP="00F40195">
            <w:pPr>
              <w:pStyle w:val="ListParagraph"/>
              <w:numPr>
                <w:ilvl w:val="0"/>
                <w:numId w:val="17"/>
              </w:numPr>
              <w:rPr>
                <w:rFonts w:eastAsiaTheme="minorHAnsi"/>
                <w:szCs w:val="22"/>
              </w:rPr>
            </w:pPr>
            <w:r w:rsidRPr="00F40195">
              <w:rPr>
                <w:bCs/>
              </w:rPr>
              <w:t xml:space="preserve">10 days </w:t>
            </w:r>
            <w:r w:rsidR="00313101" w:rsidRPr="00F40195">
              <w:rPr>
                <w:bCs/>
              </w:rPr>
              <w:t>of pupil free time for training</w:t>
            </w:r>
          </w:p>
          <w:p w:rsidR="00313101" w:rsidRPr="00F40195" w:rsidRDefault="000C772C" w:rsidP="00F40195">
            <w:pPr>
              <w:pStyle w:val="ListParagraph"/>
              <w:numPr>
                <w:ilvl w:val="0"/>
                <w:numId w:val="17"/>
              </w:numPr>
              <w:spacing w:after="200"/>
              <w:rPr>
                <w:rFonts w:eastAsiaTheme="minorHAnsi"/>
                <w:b/>
                <w:bCs/>
              </w:rPr>
            </w:pPr>
            <w:r w:rsidRPr="00F40195">
              <w:rPr>
                <w:bCs/>
              </w:rPr>
              <w:t xml:space="preserve">Funds for training </w:t>
            </w:r>
            <w:r w:rsidR="00313101" w:rsidRPr="00F40195">
              <w:rPr>
                <w:bCs/>
              </w:rPr>
              <w:t xml:space="preserve">at the rate </w:t>
            </w:r>
            <w:r w:rsidRPr="00F40195">
              <w:rPr>
                <w:bCs/>
              </w:rPr>
              <w:t>of $100 per pupil</w:t>
            </w:r>
          </w:p>
          <w:p w:rsidR="00313101" w:rsidRPr="00F40195" w:rsidRDefault="00313101" w:rsidP="00F40195">
            <w:pPr>
              <w:rPr>
                <w:rFonts w:eastAsiaTheme="minorHAnsi"/>
                <w:bCs/>
                <w:szCs w:val="22"/>
              </w:rPr>
            </w:pPr>
            <w:r w:rsidRPr="00F40195">
              <w:rPr>
                <w:bCs/>
              </w:rPr>
              <w:t>These resources are in addition to:</w:t>
            </w:r>
          </w:p>
          <w:p w:rsidR="00313101" w:rsidRPr="00F40195" w:rsidRDefault="005E337B" w:rsidP="00F40195">
            <w:pPr>
              <w:pStyle w:val="ListParagraph"/>
              <w:numPr>
                <w:ilvl w:val="0"/>
                <w:numId w:val="17"/>
              </w:numPr>
              <w:rPr>
                <w:rFonts w:eastAsiaTheme="minorHAnsi"/>
                <w:b/>
                <w:bCs/>
                <w:szCs w:val="22"/>
              </w:rPr>
            </w:pPr>
            <w:r w:rsidRPr="00F40195">
              <w:rPr>
                <w:bCs/>
              </w:rPr>
              <w:t>Instruc</w:t>
            </w:r>
            <w:r w:rsidR="00D953F4" w:rsidRPr="00F40195">
              <w:rPr>
                <w:bCs/>
              </w:rPr>
              <w:t>tional Coaches</w:t>
            </w:r>
          </w:p>
          <w:p w:rsidR="006B6B73" w:rsidRPr="00F40195" w:rsidRDefault="00313101" w:rsidP="00F40195">
            <w:pPr>
              <w:pStyle w:val="ListParagraph"/>
              <w:keepNext/>
              <w:keepLines/>
              <w:numPr>
                <w:ilvl w:val="0"/>
                <w:numId w:val="17"/>
              </w:numPr>
              <w:spacing w:before="200" w:after="200"/>
              <w:outlineLvl w:val="5"/>
              <w:rPr>
                <w:b/>
                <w:szCs w:val="24"/>
              </w:rPr>
            </w:pPr>
            <w:r w:rsidRPr="00F40195">
              <w:rPr>
                <w:bCs/>
              </w:rPr>
              <w:t xml:space="preserve">Collaborative work with teachers in their schools during planning and collaborative time </w:t>
            </w:r>
            <w:r w:rsidR="00D953F4" w:rsidRPr="00F40195">
              <w:rPr>
                <w:bCs/>
              </w:rPr>
              <w:t>periods.</w:t>
            </w:r>
          </w:p>
        </w:tc>
      </w:tr>
      <w:tr w:rsidR="00664B27" w:rsidRPr="00F40195">
        <w:tc>
          <w:tcPr>
            <w:tcW w:w="4788" w:type="dxa"/>
          </w:tcPr>
          <w:p w:rsidR="00664B27" w:rsidRPr="00F40195" w:rsidRDefault="00664B27" w:rsidP="00F40195">
            <w:pPr>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603132" w:rsidP="00844962">
            <w:pPr>
              <w:pStyle w:val="Default"/>
            </w:pPr>
            <w:r w:rsidRPr="00F40195">
              <w:rPr>
                <w:rFonts w:eastAsiaTheme="minorHAnsi"/>
                <w:szCs w:val="22"/>
              </w:rPr>
              <w:t xml:space="preserve">Same as EB Model, assuming </w:t>
            </w:r>
            <w:r w:rsidR="00CF188D" w:rsidRPr="00F40195">
              <w:rPr>
                <w:rFonts w:eastAsiaTheme="minorHAnsi"/>
                <w:szCs w:val="22"/>
              </w:rPr>
              <w:t>the PD was of high quality and not necessarily mandated as entirely during the summer.</w:t>
            </w:r>
          </w:p>
        </w:tc>
        <w:tc>
          <w:tcPr>
            <w:tcW w:w="4788" w:type="dxa"/>
          </w:tcPr>
          <w:p w:rsidR="00664B27" w:rsidRPr="00F40195" w:rsidRDefault="00603132" w:rsidP="00F40195">
            <w:r w:rsidRPr="00F40195">
              <w:t xml:space="preserve">Same as EB Model, with concern </w:t>
            </w:r>
            <w:proofErr w:type="gramStart"/>
            <w:r w:rsidRPr="00F40195">
              <w:t>that districts</w:t>
            </w:r>
            <w:proofErr w:type="gramEnd"/>
            <w:r w:rsidRPr="00F40195">
              <w:t xml:space="preserve"> would actually add the days to the calendar.</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6B6B73" w:rsidP="00F40195">
            <w:r w:rsidRPr="00F40195">
              <w:t xml:space="preserve">All school faculties need </w:t>
            </w:r>
            <w:r w:rsidRPr="00F40195">
              <w:rPr>
                <w:bCs/>
              </w:rPr>
              <w:t>ongoing professional development</w:t>
            </w:r>
            <w:r w:rsidR="00B9037A" w:rsidRPr="00F40195">
              <w:rPr>
                <w:bCs/>
              </w:rPr>
              <w:t xml:space="preserve">, especially today with the challenge of implementing the Common Core </w:t>
            </w:r>
            <w:r w:rsidR="0009273C" w:rsidRPr="00F40195">
              <w:rPr>
                <w:bCs/>
              </w:rPr>
              <w:t>S</w:t>
            </w:r>
            <w:r w:rsidR="00B9037A" w:rsidRPr="00F40195">
              <w:rPr>
                <w:bCs/>
              </w:rPr>
              <w:t>tandards and preparing all students to be college and career ready</w:t>
            </w:r>
            <w:r w:rsidRPr="00F40195">
              <w:t xml:space="preserve">. </w:t>
            </w:r>
            <w:r w:rsidR="00737DFE" w:rsidRPr="00F40195">
              <w:t>I</w:t>
            </w:r>
            <w:r w:rsidRPr="00F40195">
              <w:t>mproving teacher effectiveness through high quality professional development is arguably as important as all of the other resource strategies identified</w:t>
            </w:r>
            <w:r w:rsidR="00313101" w:rsidRPr="00F40195">
              <w:t>. E</w:t>
            </w:r>
            <w:r w:rsidRPr="00F40195">
              <w:t>ffective teachers are the most influential</w:t>
            </w:r>
            <w:r w:rsidR="004B4B0E" w:rsidRPr="00F40195">
              <w:t xml:space="preserve"> individual school-based</w:t>
            </w:r>
            <w:r w:rsidRPr="00F40195">
              <w:t xml:space="preserve"> factor in student learning (Rowan, Correnti &amp; Miller, 2002; Wright, Horn &amp; Sanders, 1997) and </w:t>
            </w:r>
            <w:r w:rsidR="00B9037A" w:rsidRPr="00F40195">
              <w:t xml:space="preserve">a </w:t>
            </w:r>
            <w:r w:rsidRPr="00F40195">
              <w:t>more systemic</w:t>
            </w:r>
            <w:r w:rsidR="00B9037A" w:rsidRPr="00F40195">
              <w:t xml:space="preserve"> and uniform</w:t>
            </w:r>
            <w:r w:rsidRPr="00F40195">
              <w:t xml:space="preserve"> deployment of effective instruction is </w:t>
            </w:r>
            <w:proofErr w:type="gramStart"/>
            <w:r w:rsidRPr="00F40195">
              <w:t>key</w:t>
            </w:r>
            <w:proofErr w:type="gramEnd"/>
            <w:r w:rsidRPr="00F40195">
              <w:t xml:space="preserve"> to improving learning and reducing achievement gaps (Odden, 2011a; Raudenbusch, 2009). </w:t>
            </w:r>
          </w:p>
          <w:p w:rsidR="000B0FAB" w:rsidRPr="00F40195" w:rsidRDefault="000B0FAB" w:rsidP="00F40195">
            <w:pPr>
              <w:rPr>
                <w:strike/>
              </w:rPr>
            </w:pPr>
          </w:p>
          <w:p w:rsidR="006B6B73" w:rsidRPr="00F40195" w:rsidRDefault="00C24D92" w:rsidP="00F40195">
            <w:r w:rsidRPr="00F40195">
              <w:t>There</w:t>
            </w:r>
            <w:r w:rsidR="006B6B73" w:rsidRPr="00F40195">
              <w:t xml:space="preserve"> is recent and substantial research on effective professional development and its costs (e.g., Crow, 2011; Odden, 2011b)</w:t>
            </w:r>
            <w:r w:rsidR="009739FE" w:rsidRPr="00F40195">
              <w:t xml:space="preserve">. </w:t>
            </w:r>
            <w:r w:rsidR="006B6B73" w:rsidRPr="00F40195">
              <w:t>Effective professional development is defined as professional development that produces change in teachers’ classroom-based instructional practice that can be linked to improvements in student learning</w:t>
            </w:r>
            <w:r w:rsidR="009739FE" w:rsidRPr="00F40195">
              <w:t xml:space="preserve">. </w:t>
            </w:r>
            <w:r w:rsidR="006B6B73" w:rsidRPr="00F40195">
              <w:t>The practices and principles researchers and professional development organizations use to characterize “high quality” or “effective” professional development draw upon a series of empirical research studies that linked program strategies to changes in teachers’ instructional practice and subsequent increases in student achievement</w:t>
            </w:r>
            <w:r w:rsidR="009739FE" w:rsidRPr="00F40195">
              <w:t xml:space="preserve">. </w:t>
            </w:r>
            <w:r w:rsidR="006B6B73" w:rsidRPr="00F40195">
              <w:t xml:space="preserve">Combined, these studies and recent reports from Learning Forward, </w:t>
            </w:r>
            <w:r w:rsidR="00C90D1E" w:rsidRPr="00F40195">
              <w:t>a</w:t>
            </w:r>
            <w:r w:rsidR="006B6B73" w:rsidRPr="00F40195">
              <w:t xml:space="preserve"> national organization focused on professional development (see Crow, 2011), identified six structural features of effective professional development:</w:t>
            </w:r>
            <w:r w:rsidR="004B4B0E" w:rsidRPr="00F40195">
              <w:t xml:space="preserve"> form, duration, collective participation, content focus, active learning, and coherence.</w:t>
            </w:r>
          </w:p>
          <w:p w:rsidR="00FA5021" w:rsidRPr="00F40195" w:rsidRDefault="00FA5021" w:rsidP="00F40195">
            <w:pPr>
              <w:rPr>
                <w:strike/>
              </w:rPr>
            </w:pPr>
          </w:p>
          <w:p w:rsidR="00702015" w:rsidRPr="00F40195" w:rsidRDefault="006B6B73" w:rsidP="00F40195">
            <w:r w:rsidRPr="00F40195">
              <w:t>It should be clear that the longer the duration, and the more the coaching, the more time is required of teachers as well as professional d</w:t>
            </w:r>
            <w:r w:rsidR="005D2CA9" w:rsidRPr="00F40195">
              <w:t>evelopment trainers and coaches.</w:t>
            </w:r>
          </w:p>
          <w:p w:rsidR="00C90D1E" w:rsidRPr="00F40195" w:rsidRDefault="00C90D1E" w:rsidP="00F40195"/>
          <w:p w:rsidR="006B6B73" w:rsidRPr="00F40195" w:rsidRDefault="006B6B73" w:rsidP="00F40195">
            <w:r w:rsidRPr="00F40195">
              <w:t>Note that there is little support in this research for the development of individually oriented professional development plans; the research implies a much more systemic approach.</w:t>
            </w:r>
          </w:p>
          <w:p w:rsidR="00FA5021" w:rsidRPr="00F40195" w:rsidRDefault="00FA5021" w:rsidP="00F40195"/>
          <w:p w:rsidR="00C90D1E" w:rsidRPr="00F40195" w:rsidRDefault="006B6B73" w:rsidP="00F40195">
            <w:r w:rsidRPr="00F40195">
              <w:t>Form, duration, collective participation, and active learning require various amounts of both teacher and trainer/coach/mentor time, during the regular school day and year and, depending on the specific strategies, outside of the regular day and year as well.</w:t>
            </w:r>
            <w:r w:rsidR="00C90D1E" w:rsidRPr="00F40195">
              <w:t xml:space="preserve"> </w:t>
            </w:r>
            <w:r w:rsidRPr="00F40195">
              <w:t>This time costs money.</w:t>
            </w:r>
          </w:p>
          <w:p w:rsidR="00C90D1E" w:rsidRPr="00F40195" w:rsidRDefault="00C90D1E" w:rsidP="00F40195"/>
          <w:p w:rsidR="006B6B73" w:rsidRPr="00F40195" w:rsidRDefault="006B6B73" w:rsidP="00F40195">
            <w:r w:rsidRPr="00F40195">
              <w:t>Further, all professional development strategies require some amount of administration, materials and supplies, and miscellaneous financial support for travel and fees</w:t>
            </w:r>
            <w:r w:rsidR="009739FE" w:rsidRPr="00F40195">
              <w:t xml:space="preserve">. </w:t>
            </w:r>
            <w:r w:rsidRPr="00F40195">
              <w:t>Both the above programmatic features and the specifics of their cost implications are helpful to comprehensively describe specific professional development programs and their related resource needs.</w:t>
            </w:r>
          </w:p>
        </w:tc>
      </w:tr>
    </w:tbl>
    <w:p w:rsidR="006B6B73" w:rsidRPr="00F40195" w:rsidRDefault="00E16A50" w:rsidP="008D674A">
      <w:pPr>
        <w:pStyle w:val="Heading3"/>
      </w:pPr>
      <w:bookmarkStart w:id="114" w:name="_Toc47974486"/>
      <w:bookmarkStart w:id="115" w:name="_Toc226045649"/>
      <w:bookmarkStart w:id="116" w:name="_Toc395180702"/>
      <w:r w:rsidRPr="00F40195">
        <w:lastRenderedPageBreak/>
        <w:t>D.23</w:t>
      </w:r>
      <w:r w:rsidR="006B6B73" w:rsidRPr="00F40195">
        <w:t xml:space="preserve"> Technology</w:t>
      </w:r>
      <w:bookmarkEnd w:id="114"/>
      <w:r w:rsidR="006B6B73" w:rsidRPr="00F40195">
        <w:t xml:space="preserve"> and Equipment</w:t>
      </w:r>
      <w:bookmarkEnd w:id="115"/>
      <w:bookmarkEnd w:id="116"/>
      <w:r w:rsidR="006B6B73"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816DF3" w:rsidP="00F40195">
            <w:pPr>
              <w:pStyle w:val="ListParagraph"/>
              <w:ind w:left="90"/>
              <w:rPr>
                <w:rFonts w:eastAsiaTheme="minorHAnsi"/>
                <w:b/>
                <w:szCs w:val="22"/>
              </w:rPr>
            </w:pPr>
            <w:r w:rsidRPr="00F40195">
              <w:rPr>
                <w:szCs w:val="24"/>
              </w:rPr>
              <w:t>There is no specific provision in the KY SEEK formula for this element</w:t>
            </w:r>
            <w:r w:rsidRPr="00F40195">
              <w:rPr>
                <w:rFonts w:eastAsiaTheme="minorHAnsi"/>
                <w:b/>
                <w:szCs w:val="22"/>
              </w:rPr>
              <w:t xml:space="preserve"> </w:t>
            </w:r>
          </w:p>
        </w:tc>
        <w:tc>
          <w:tcPr>
            <w:tcW w:w="4788" w:type="dxa"/>
          </w:tcPr>
          <w:p w:rsidR="000B0FAB" w:rsidRPr="00F40195" w:rsidRDefault="006B6B73" w:rsidP="00844962">
            <w:pPr>
              <w:rPr>
                <w:rFonts w:eastAsiaTheme="minorHAnsi"/>
                <w:b/>
                <w:szCs w:val="22"/>
              </w:rPr>
            </w:pPr>
            <w:r w:rsidRPr="00F40195">
              <w:t>The EB model provides</w:t>
            </w:r>
            <w:r w:rsidR="000B0FAB" w:rsidRPr="00F40195">
              <w:t xml:space="preserve">: </w:t>
            </w:r>
            <w:r w:rsidRPr="00F40195">
              <w:t>$250 per every PK-12 student</w:t>
            </w:r>
          </w:p>
        </w:tc>
      </w:tr>
      <w:tr w:rsidR="00664B27" w:rsidRPr="00F40195">
        <w:tc>
          <w:tcPr>
            <w:tcW w:w="4788" w:type="dxa"/>
          </w:tcPr>
          <w:p w:rsidR="00664B27" w:rsidRPr="00F40195" w:rsidRDefault="00664B27" w:rsidP="00F40195">
            <w:pPr>
              <w:pStyle w:val="ListParagraph"/>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254BCC" w:rsidP="00844962">
            <w:pPr>
              <w:pStyle w:val="Default"/>
            </w:pPr>
            <w:r w:rsidRPr="00F40195">
              <w:rPr>
                <w:rFonts w:eastAsiaTheme="minorHAnsi"/>
                <w:szCs w:val="22"/>
              </w:rPr>
              <w:t>Same as EB Model but some concern that it may not be sufficient for the increasingly rigorous science standards.</w:t>
            </w:r>
          </w:p>
        </w:tc>
        <w:tc>
          <w:tcPr>
            <w:tcW w:w="4788" w:type="dxa"/>
          </w:tcPr>
          <w:p w:rsidR="00664B27" w:rsidRPr="00F40195" w:rsidRDefault="00CF188D" w:rsidP="00096ADF">
            <w:r w:rsidRPr="00F40195">
              <w:t>Same as EB Model, with concern about initial cost of technology.</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C90D1E" w:rsidRPr="00F40195" w:rsidRDefault="006B6B73" w:rsidP="00F40195">
            <w:r w:rsidRPr="00F40195">
              <w:t>Infusing technology into the school curriculum has associated costs for computer hardware, networking equipment, software, training and personnel associated with maintaining and repairing these machines.</w:t>
            </w:r>
            <w:r w:rsidR="00C90D1E" w:rsidRPr="00F40195">
              <w:t xml:space="preserve"> The level of needs is dependent upon the curricular choices of a given district and the needs to engage in the various computer-dependent programs and interventions.</w:t>
            </w:r>
          </w:p>
          <w:p w:rsidR="00B35C88" w:rsidRPr="00F40195" w:rsidRDefault="006B6B73" w:rsidP="00F40195">
            <w:pPr>
              <w:pStyle w:val="ListParagraph"/>
              <w:numPr>
                <w:ilvl w:val="0"/>
                <w:numId w:val="22"/>
              </w:numPr>
              <w:rPr>
                <w:rFonts w:eastAsiaTheme="minorHAnsi"/>
                <w:szCs w:val="22"/>
              </w:rPr>
            </w:pPr>
            <w:r w:rsidRPr="00F40195">
              <w:t xml:space="preserve">The </w:t>
            </w:r>
            <w:r w:rsidRPr="00F40195">
              <w:rPr>
                <w:i/>
              </w:rPr>
              <w:t xml:space="preserve">Total Cost </w:t>
            </w:r>
            <w:r w:rsidRPr="00F40195">
              <w:t>of purchasing and embedding technology into the operation of schools identifies both the direct and indirect costs of technology and its successful implementation.</w:t>
            </w:r>
          </w:p>
          <w:p w:rsidR="00B35C88" w:rsidRPr="00F40195" w:rsidRDefault="006B6B73" w:rsidP="00F40195">
            <w:pPr>
              <w:pStyle w:val="ListParagraph"/>
              <w:numPr>
                <w:ilvl w:val="1"/>
                <w:numId w:val="22"/>
              </w:numPr>
              <w:rPr>
                <w:rFonts w:eastAsiaTheme="minorHAnsi"/>
                <w:szCs w:val="22"/>
              </w:rPr>
            </w:pPr>
            <w:r w:rsidRPr="00F40195">
              <w:t xml:space="preserve">The </w:t>
            </w:r>
            <w:r w:rsidRPr="00F40195">
              <w:rPr>
                <w:i/>
              </w:rPr>
              <w:t>direct costs</w:t>
            </w:r>
            <w:r w:rsidRPr="00F40195">
              <w:t xml:space="preserve"> of technology include hardware, software, and labor costs for repairing and maintaining the machines.</w:t>
            </w:r>
          </w:p>
          <w:p w:rsidR="00B35C88" w:rsidRPr="00F40195" w:rsidRDefault="006B6B73" w:rsidP="00F40195">
            <w:pPr>
              <w:pStyle w:val="ListParagraph"/>
              <w:numPr>
                <w:ilvl w:val="1"/>
                <w:numId w:val="22"/>
              </w:numPr>
              <w:rPr>
                <w:rFonts w:eastAsiaTheme="minorHAnsi"/>
                <w:szCs w:val="22"/>
              </w:rPr>
            </w:pPr>
            <w:r w:rsidRPr="00F40195">
              <w:rPr>
                <w:i/>
              </w:rPr>
              <w:t>Indirect costs</w:t>
            </w:r>
            <w:r w:rsidRPr="00F40195">
              <w:t xml:space="preserve"> include the costs of users supporting each </w:t>
            </w:r>
            <w:proofErr w:type="gramStart"/>
            <w:r w:rsidRPr="00F40195">
              <w:t>other,</w:t>
            </w:r>
            <w:proofErr w:type="gramEnd"/>
            <w:r w:rsidRPr="00F40195">
              <w:t xml:space="preserve"> time spent in training classes, casual learning, self-support, user application development and downtime costs.</w:t>
            </w:r>
          </w:p>
          <w:p w:rsidR="00B35C88" w:rsidRPr="00F40195" w:rsidRDefault="00B35C88" w:rsidP="00F40195"/>
          <w:p w:rsidR="006B6B73" w:rsidRPr="00F40195" w:rsidRDefault="006B6B73" w:rsidP="00F40195">
            <w:r w:rsidRPr="00F40195">
              <w:t xml:space="preserve">This </w:t>
            </w:r>
            <w:r w:rsidR="00383A04" w:rsidRPr="00F40195">
              <w:t>e</w:t>
            </w:r>
            <w:r w:rsidR="00D953F4" w:rsidRPr="00F40195">
              <w:t xml:space="preserve">lement </w:t>
            </w:r>
            <w:r w:rsidRPr="00F40195">
              <w:t>identifies only direct technology costs, as the indirect costs, which are primarily training, are included in the overall professional development resources</w:t>
            </w:r>
            <w:r w:rsidR="00D953F4" w:rsidRPr="00F40195">
              <w:t>.</w:t>
            </w:r>
            <w:r w:rsidRPr="00F40195">
              <w:t xml:space="preserve"> Districts also need individuals to serve as technical support for technology embedded curriculum and management systems</w:t>
            </w:r>
            <w:r w:rsidR="00D953F4" w:rsidRPr="00F40195">
              <w:t xml:space="preserve">, </w:t>
            </w:r>
            <w:r w:rsidRPr="00F40195">
              <w:t>though the bulk of that work can be covered by warranties purchased at the time computers are acquired.</w:t>
            </w:r>
          </w:p>
          <w:p w:rsidR="000B0FAB" w:rsidRPr="00F40195" w:rsidRDefault="000B0FAB" w:rsidP="00F40195">
            <w:pPr>
              <w:rPr>
                <w:strike/>
              </w:rPr>
            </w:pPr>
          </w:p>
          <w:p w:rsidR="006B6B73" w:rsidRPr="00F40195" w:rsidRDefault="00C24D92" w:rsidP="00F40195">
            <w:r w:rsidRPr="00F40195">
              <w:t>A</w:t>
            </w:r>
            <w:r w:rsidR="006B6B73" w:rsidRPr="00F40195">
              <w:t xml:space="preserve"> detailed analysis of the costs of equipping schools with ongoing technology materials (Odden, 2012) estimated four categories of technology </w:t>
            </w:r>
            <w:proofErr w:type="gramStart"/>
            <w:r w:rsidR="006B6B73" w:rsidRPr="00F40195">
              <w:t>costs</w:t>
            </w:r>
            <w:proofErr w:type="gramEnd"/>
            <w:r w:rsidR="006B6B73" w:rsidRPr="00F40195">
              <w:t xml:space="preserve"> that totaled $250 a pupil</w:t>
            </w:r>
            <w:r w:rsidR="009739FE" w:rsidRPr="00F40195">
              <w:t xml:space="preserve">. </w:t>
            </w:r>
            <w:r w:rsidR="006B6B73" w:rsidRPr="00F40195">
              <w:t>The amounts by category should be considered flexible as districts and schools will need to allocate dollars to their highest priority technology needs outlined in state and district technology plans</w:t>
            </w:r>
            <w:r w:rsidR="009739FE" w:rsidRPr="00F40195">
              <w:t xml:space="preserve">. </w:t>
            </w:r>
            <w:r w:rsidR="006B6B73" w:rsidRPr="00F40195">
              <w:t xml:space="preserve">The per pupil costs for each of the four subcategories are:  </w:t>
            </w:r>
          </w:p>
          <w:p w:rsidR="00702015" w:rsidRPr="00F40195" w:rsidRDefault="00702015" w:rsidP="00F40195"/>
          <w:p w:rsidR="006B6B73" w:rsidRPr="00F40195" w:rsidRDefault="006B6B73" w:rsidP="00F40195">
            <w:pPr>
              <w:pStyle w:val="ListParagraph"/>
              <w:numPr>
                <w:ilvl w:val="0"/>
                <w:numId w:val="8"/>
              </w:numPr>
            </w:pPr>
            <w:r w:rsidRPr="00F40195">
              <w:lastRenderedPageBreak/>
              <w:t>Computer hardware:  $71</w:t>
            </w:r>
          </w:p>
          <w:p w:rsidR="006B6B73" w:rsidRPr="00F40195" w:rsidRDefault="006B6B73" w:rsidP="00F40195">
            <w:pPr>
              <w:pStyle w:val="ListParagraph"/>
              <w:numPr>
                <w:ilvl w:val="0"/>
                <w:numId w:val="8"/>
              </w:numPr>
            </w:pPr>
            <w:r w:rsidRPr="00F40195">
              <w:t>Operating systems, productivity and non-instructional software:  $72</w:t>
            </w:r>
          </w:p>
          <w:p w:rsidR="006B6B73" w:rsidRPr="00F40195" w:rsidRDefault="006B6B73" w:rsidP="00F40195">
            <w:pPr>
              <w:pStyle w:val="ListParagraph"/>
              <w:numPr>
                <w:ilvl w:val="0"/>
                <w:numId w:val="8"/>
              </w:numPr>
            </w:pPr>
            <w:r w:rsidRPr="00F40195">
              <w:t>Network equipment, printers and copiers:  $55</w:t>
            </w:r>
          </w:p>
          <w:p w:rsidR="006B6B73" w:rsidRPr="00F40195" w:rsidRDefault="006B6B73" w:rsidP="00F40195">
            <w:pPr>
              <w:pStyle w:val="ListParagraph"/>
              <w:numPr>
                <w:ilvl w:val="0"/>
                <w:numId w:val="8"/>
              </w:numPr>
            </w:pPr>
            <w:r w:rsidRPr="00F40195">
              <w:t>Instructional software and additional classroom hardware:  $52</w:t>
            </w:r>
          </w:p>
          <w:p w:rsidR="00702015" w:rsidRPr="00F40195" w:rsidRDefault="00702015" w:rsidP="00F40195">
            <w:pPr>
              <w:pStyle w:val="ListParagraph"/>
              <w:rPr>
                <w:rFonts w:eastAsiaTheme="minorHAnsi"/>
                <w:b/>
                <w:bCs/>
                <w:color w:val="365F91" w:themeColor="accent1" w:themeShade="BF"/>
                <w:szCs w:val="22"/>
                <w:lang w:eastAsia="ja-JP"/>
              </w:rPr>
            </w:pPr>
          </w:p>
          <w:p w:rsidR="006B6B73" w:rsidRPr="00F40195" w:rsidRDefault="006B6B73" w:rsidP="00F40195">
            <w:r w:rsidRPr="00F40195">
              <w:t>This per pupil figure would be sufficient to purchase, upgrade and maintain computers, servers, operating systems and productivity software, network equipment, and student administrative system and financial systems software, as well as other equipment such as copiers</w:t>
            </w:r>
            <w:r w:rsidR="009739FE" w:rsidRPr="00F40195">
              <w:t xml:space="preserve">. </w:t>
            </w:r>
            <w:r w:rsidRPr="00F40195">
              <w:t xml:space="preserve">Since the systems software packages vary dramatically in price, the figure would cover medium priced student administrative and financial systems software packages. </w:t>
            </w:r>
          </w:p>
          <w:p w:rsidR="00702015" w:rsidRPr="00F40195" w:rsidRDefault="00702015" w:rsidP="00F40195"/>
          <w:p w:rsidR="00702015" w:rsidRPr="00F40195" w:rsidRDefault="006B6B73" w:rsidP="00F40195">
            <w:r w:rsidRPr="00F40195">
              <w:t>The $250 per pupil would allow a school to have one computer for every two to three students</w:t>
            </w:r>
            <w:r w:rsidR="009739FE" w:rsidRPr="00F40195">
              <w:t xml:space="preserve">. </w:t>
            </w:r>
            <w:r w:rsidRPr="00F40195">
              <w:t>This ratio would be sufficient to provide every teacher, the principal, and other key school-level staff with a computer, and to have an actual ratio of about one computer for every three-to-four students in each classroom</w:t>
            </w:r>
            <w:r w:rsidR="009739FE" w:rsidRPr="00F40195">
              <w:t xml:space="preserve">. </w:t>
            </w:r>
            <w:r w:rsidRPr="00F40195">
              <w:t>This level of funding would also allow for the technology needed for schools to access distance learning programs, and for students to access the new and evolving local online testing programs</w:t>
            </w:r>
            <w:r w:rsidR="009739FE" w:rsidRPr="00F40195">
              <w:t xml:space="preserve">. </w:t>
            </w:r>
          </w:p>
          <w:p w:rsidR="00C24D92" w:rsidRPr="00F40195" w:rsidRDefault="00C24D92" w:rsidP="00F40195"/>
          <w:p w:rsidR="006B6B73" w:rsidRPr="00F40195" w:rsidRDefault="00C24D92" w:rsidP="00F40195">
            <w:pPr>
              <w:rPr>
                <w:b/>
              </w:rPr>
            </w:pPr>
            <w:r w:rsidRPr="00F40195">
              <w:t>D</w:t>
            </w:r>
            <w:r w:rsidR="006B6B73" w:rsidRPr="00F40195">
              <w:t xml:space="preserve">istricts </w:t>
            </w:r>
            <w:r w:rsidRPr="00F40195">
              <w:t xml:space="preserve">should </w:t>
            </w:r>
            <w:r w:rsidR="006B6B73" w:rsidRPr="00F40195">
              <w:t>either incorporate maintenance costs in lease agreements or, if purchasing the equipment, buy 24-hour maintenance plans</w:t>
            </w:r>
            <w:proofErr w:type="gramStart"/>
            <w:r w:rsidR="006B6B73" w:rsidRPr="00F40195">
              <w:t>,</w:t>
            </w:r>
            <w:proofErr w:type="gramEnd"/>
            <w:r w:rsidR="006B6B73" w:rsidRPr="00F40195">
              <w:t xml:space="preserve"> to eliminate the need for school or district staff to fix computers</w:t>
            </w:r>
            <w:r w:rsidR="009739FE" w:rsidRPr="00F40195">
              <w:t xml:space="preserve">. </w:t>
            </w:r>
          </w:p>
        </w:tc>
      </w:tr>
    </w:tbl>
    <w:p w:rsidR="006B6B73" w:rsidRPr="00F40195" w:rsidRDefault="00E16A50" w:rsidP="008D674A">
      <w:pPr>
        <w:pStyle w:val="Heading3"/>
      </w:pPr>
      <w:bookmarkStart w:id="117" w:name="_Toc226045650"/>
      <w:bookmarkStart w:id="118" w:name="_Toc395180703"/>
      <w:r w:rsidRPr="00F40195">
        <w:lastRenderedPageBreak/>
        <w:t>D.24</w:t>
      </w:r>
      <w:r w:rsidR="006B6B73" w:rsidRPr="00F40195">
        <w:t xml:space="preserve"> Instructional Materials</w:t>
      </w:r>
      <w:bookmarkEnd w:id="117"/>
      <w:bookmarkEnd w:id="118"/>
    </w:p>
    <w:tbl>
      <w:tblPr>
        <w:tblStyle w:val="TableGrid"/>
        <w:tblW w:w="0" w:type="auto"/>
        <w:tblLook w:val="04A0" w:firstRow="1" w:lastRow="0" w:firstColumn="1" w:lastColumn="0" w:noHBand="0" w:noVBand="1"/>
      </w:tblPr>
      <w:tblGrid>
        <w:gridCol w:w="4494"/>
        <w:gridCol w:w="5082"/>
      </w:tblGrid>
      <w:tr w:rsidR="006B6B73" w:rsidRPr="00F40195" w:rsidTr="00664B27">
        <w:tc>
          <w:tcPr>
            <w:tcW w:w="4494"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5082"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rsidTr="00664B27">
        <w:tc>
          <w:tcPr>
            <w:tcW w:w="4494" w:type="dxa"/>
          </w:tcPr>
          <w:p w:rsidR="006B6B73" w:rsidRPr="00F40195" w:rsidRDefault="00816DF3" w:rsidP="00F40195">
            <w:pPr>
              <w:spacing w:after="200"/>
              <w:rPr>
                <w:b/>
              </w:rPr>
            </w:pPr>
            <w:r w:rsidRPr="00F40195">
              <w:rPr>
                <w:szCs w:val="24"/>
              </w:rPr>
              <w:t>There is no specific provision in the KY SEEK formula for this element</w:t>
            </w:r>
            <w:r w:rsidRPr="00F40195">
              <w:rPr>
                <w:b/>
              </w:rPr>
              <w:t>.</w:t>
            </w:r>
          </w:p>
          <w:p w:rsidR="00816DF3" w:rsidRPr="00F40195" w:rsidRDefault="00816DF3" w:rsidP="00F40195">
            <w:pPr>
              <w:spacing w:after="200"/>
            </w:pPr>
            <w:r w:rsidRPr="00F40195">
              <w:t>A targeted instructional materials grant has, at times, been used.</w:t>
            </w:r>
          </w:p>
        </w:tc>
        <w:tc>
          <w:tcPr>
            <w:tcW w:w="5082" w:type="dxa"/>
          </w:tcPr>
          <w:p w:rsidR="00F45E16" w:rsidRPr="00F40195" w:rsidRDefault="00F45E16" w:rsidP="00F40195">
            <w:r w:rsidRPr="00F40195">
              <w:t>T</w:t>
            </w:r>
            <w:r w:rsidR="006B6B73" w:rsidRPr="00F40195">
              <w:t xml:space="preserve">he EB model also includes </w:t>
            </w:r>
            <w:r w:rsidRPr="00F40195">
              <w:t>funding for library texts and electronic services of $20, $20, and $25 for elementary, middle, and high school students, respectively.</w:t>
            </w:r>
          </w:p>
          <w:p w:rsidR="00F45E16" w:rsidRPr="00F40195" w:rsidRDefault="00F45E16" w:rsidP="00F40195"/>
          <w:p w:rsidR="006B6B73" w:rsidRPr="00F40195" w:rsidRDefault="00F45E16" w:rsidP="00BD1A57">
            <w:pPr>
              <w:rPr>
                <w:b/>
              </w:rPr>
            </w:pPr>
            <w:r w:rsidRPr="00F40195">
              <w:t>Textbooks and consumables are funded at the rate of $120, $120, and $150 for elementary, middle, and high school students, respectively.</w:t>
            </w:r>
          </w:p>
        </w:tc>
      </w:tr>
      <w:tr w:rsidR="00664B27" w:rsidRPr="00F40195" w:rsidTr="00664B27">
        <w:tc>
          <w:tcPr>
            <w:tcW w:w="4494" w:type="dxa"/>
          </w:tcPr>
          <w:p w:rsidR="00664B27" w:rsidRPr="00F40195" w:rsidRDefault="00664B27" w:rsidP="00F40195">
            <w:pPr>
              <w:spacing w:after="200"/>
              <w:rPr>
                <w:szCs w:val="24"/>
              </w:rPr>
            </w:pPr>
            <w:r w:rsidRPr="00F40195">
              <w:rPr>
                <w:b/>
              </w:rPr>
              <w:t>Stakeholder Panel Recommendation</w:t>
            </w:r>
          </w:p>
        </w:tc>
        <w:tc>
          <w:tcPr>
            <w:tcW w:w="5082" w:type="dxa"/>
          </w:tcPr>
          <w:p w:rsidR="00664B27" w:rsidRPr="00F40195" w:rsidRDefault="00664B27" w:rsidP="00F40195">
            <w:pPr>
              <w:rPr>
                <w:b/>
              </w:rPr>
            </w:pPr>
            <w:r w:rsidRPr="00F40195">
              <w:rPr>
                <w:b/>
              </w:rPr>
              <w:t>Advisory Committee Recommendation</w:t>
            </w:r>
          </w:p>
        </w:tc>
      </w:tr>
      <w:tr w:rsidR="00664B27" w:rsidRPr="00F40195" w:rsidTr="00664B27">
        <w:tc>
          <w:tcPr>
            <w:tcW w:w="4494" w:type="dxa"/>
          </w:tcPr>
          <w:p w:rsidR="00664B27" w:rsidRPr="00F40195" w:rsidRDefault="00254BCC" w:rsidP="00F40195">
            <w:pPr>
              <w:spacing w:after="200"/>
              <w:rPr>
                <w:szCs w:val="24"/>
              </w:rPr>
            </w:pPr>
            <w:r w:rsidRPr="00F40195">
              <w:rPr>
                <w:rFonts w:eastAsiaTheme="minorHAnsi"/>
                <w:szCs w:val="22"/>
              </w:rPr>
              <w:t>Same as EB Model with a request to determine the cost effectiveness of e-texts versus print texts in the context of rapidly changing standards and the need to stay current particularly in science.</w:t>
            </w:r>
          </w:p>
        </w:tc>
        <w:tc>
          <w:tcPr>
            <w:tcW w:w="5082" w:type="dxa"/>
          </w:tcPr>
          <w:p w:rsidR="00664B27" w:rsidRPr="00F40195" w:rsidRDefault="00CF188D" w:rsidP="00F40195">
            <w:pPr>
              <w:rPr>
                <w:b/>
              </w:rPr>
            </w:pPr>
            <w:r w:rsidRPr="00F40195">
              <w:t>Same as EB Model, with request to investigate the intersection of this component with technology component.</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F45E16" w:rsidRPr="00F40195" w:rsidRDefault="00F45E16" w:rsidP="00F40195">
            <w:r w:rsidRPr="00F40195">
              <w:t>The need for up-to-date instructional materials is paramount</w:t>
            </w:r>
            <w:r w:rsidR="009739FE" w:rsidRPr="00F40195">
              <w:t xml:space="preserve">. </w:t>
            </w:r>
            <w:r w:rsidRPr="00F40195">
              <w:t>Newer materials contain more accurate information and incorporate the most contemporary pedagogical approaches</w:t>
            </w:r>
            <w:r w:rsidR="009739FE" w:rsidRPr="00F40195">
              <w:t xml:space="preserve">. </w:t>
            </w:r>
            <w:r w:rsidRPr="00F40195">
              <w:t xml:space="preserve">To ensure that materials are current, twenty states have instituted adoption cycles in which they specify or </w:t>
            </w:r>
            <w:r w:rsidRPr="00F40195">
              <w:lastRenderedPageBreak/>
              <w:t>recommend texts that are aligned to state learning standards (Ratvitch, 2004)</w:t>
            </w:r>
            <w:r w:rsidR="009739FE" w:rsidRPr="00F40195">
              <w:t xml:space="preserve">. </w:t>
            </w:r>
            <w:r w:rsidRPr="00F40195">
              <w:t>Up-to-date instructional materials are expensive, but vital to the learning process. Researchers estimate that up to 90 percent of classroom activities are driven by textbooks and textbook content (Ravitch, 2004)</w:t>
            </w:r>
            <w:r w:rsidR="009739FE" w:rsidRPr="00F40195">
              <w:t xml:space="preserve">. </w:t>
            </w:r>
            <w:r w:rsidRPr="00F40195">
              <w:t>Adoption cycles with state funding attached allow districts to upgrade their texts on an ongoing basis instead of allowing these expenditures to be postponed indefinitely.</w:t>
            </w:r>
          </w:p>
          <w:p w:rsidR="00F45E16" w:rsidRPr="00F40195" w:rsidRDefault="00F45E16" w:rsidP="00F40195"/>
          <w:p w:rsidR="00F45E16" w:rsidRPr="00F40195" w:rsidRDefault="00F45E16" w:rsidP="00F40195">
            <w:r w:rsidRPr="00F40195">
              <w:t>The type and cost of textbooks and other instructional materials differ across elementary, middle school, and high school levels</w:t>
            </w:r>
            <w:r w:rsidR="009739FE" w:rsidRPr="00F40195">
              <w:t xml:space="preserve">. </w:t>
            </w:r>
            <w:r w:rsidRPr="00F40195">
              <w:t>Textbooks are more complex and thus more expensive at the upper grades and less expensive at the elementary level</w:t>
            </w:r>
            <w:r w:rsidR="009739FE" w:rsidRPr="00F40195">
              <w:t xml:space="preserve">. </w:t>
            </w:r>
            <w:r w:rsidRPr="00F40195">
              <w:t>Elementary grades, on the other hand, use more workbooks, worksheets and other consumables than the upper grades</w:t>
            </w:r>
            <w:r w:rsidR="009739FE" w:rsidRPr="00F40195">
              <w:t xml:space="preserve">. </w:t>
            </w:r>
            <w:r w:rsidRPr="00F40195">
              <w:t>Both elementary and upper grades require extensive pedagogical aides such as math manipulatives and science supplies that help teachers to demonstrate or present concepts using different pedagogical approaches. As school budgets for instructional supplies have tightened in the past, consumables and pedagogical aides have typically been the first items to be cut as teachers have been forced to make due or to purchase materials out of their own pockets.</w:t>
            </w:r>
          </w:p>
          <w:p w:rsidR="00F45E16" w:rsidRPr="00F40195" w:rsidRDefault="00F45E16" w:rsidP="00F40195"/>
          <w:p w:rsidR="00F45E16" w:rsidRPr="00F40195" w:rsidRDefault="00F45E16" w:rsidP="00F40195">
            <w:r w:rsidRPr="00F40195">
              <w:t>The price of textbooks ranges widely</w:t>
            </w:r>
            <w:r w:rsidR="009739FE" w:rsidRPr="00F40195">
              <w:t xml:space="preserve">. </w:t>
            </w:r>
            <w:r w:rsidRPr="00F40195">
              <w:t>In reviewing the price of adopted materials from a variety of sources, the top end of the high school price ban</w:t>
            </w:r>
            <w:r w:rsidR="006C7D53" w:rsidRPr="00F40195">
              <w:t>d</w:t>
            </w:r>
            <w:r w:rsidRPr="00F40195">
              <w:t xml:space="preserve"> is notable at $120 per book (see Table 3). Ten to fifteen years ago such prices for textbooks at the high school level were uncommon, but as more students move to take advanced placement courses, districts have been forced to purchase more college-level texts at college-level prices.</w:t>
            </w:r>
          </w:p>
          <w:p w:rsidR="00F30A0A" w:rsidRPr="00F40195" w:rsidRDefault="00F30A0A" w:rsidP="00F40195">
            <w:pPr>
              <w:rPr>
                <w:b/>
              </w:rPr>
            </w:pPr>
          </w:p>
          <w:p w:rsidR="006B6B73" w:rsidRPr="00F40195" w:rsidRDefault="006B6B73" w:rsidP="00F40195">
            <w:pPr>
              <w:rPr>
                <w:b/>
              </w:rPr>
            </w:pPr>
            <w:r w:rsidRPr="00F40195">
              <w:rPr>
                <w:b/>
              </w:rPr>
              <w:t>Costs of Textbooks and Instructional Supplies by School Level</w:t>
            </w:r>
          </w:p>
          <w:p w:rsidR="006B6B73" w:rsidRPr="00F40195" w:rsidRDefault="006B6B73" w:rsidP="00F40195">
            <w:pPr>
              <w:rPr>
                <w:b/>
              </w:rPr>
            </w:pPr>
            <w:r w:rsidRPr="00F40195">
              <w:rPr>
                <w:b/>
              </w:rPr>
              <w:t>(in annual dollars per pupil)</w:t>
            </w:r>
          </w:p>
          <w:p w:rsidR="006B6B73" w:rsidRPr="00F40195" w:rsidRDefault="00883A8C" w:rsidP="00F40195">
            <w:r w:rsidRPr="00F40195">
              <w:rPr>
                <w:noProof/>
              </w:rPr>
              <w:drawing>
                <wp:inline distT="0" distB="0" distL="0" distR="0">
                  <wp:extent cx="5181600" cy="12020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1600" cy="1202055"/>
                          </a:xfrm>
                          <a:prstGeom prst="rect">
                            <a:avLst/>
                          </a:prstGeom>
                          <a:noFill/>
                          <a:ln>
                            <a:noFill/>
                          </a:ln>
                        </pic:spPr>
                      </pic:pic>
                    </a:graphicData>
                  </a:graphic>
                </wp:inline>
              </w:drawing>
            </w:r>
          </w:p>
          <w:p w:rsidR="006B6B73" w:rsidRPr="00F40195" w:rsidRDefault="006B6B73" w:rsidP="00F40195">
            <w:pPr>
              <w:rPr>
                <w:rFonts w:eastAsiaTheme="minorHAnsi"/>
                <w:szCs w:val="22"/>
              </w:rPr>
            </w:pPr>
          </w:p>
          <w:p w:rsidR="006B6B73" w:rsidRPr="00F40195" w:rsidRDefault="009E34CE" w:rsidP="00F40195">
            <w:r w:rsidRPr="00F40195">
              <w:t>The</w:t>
            </w:r>
            <w:r w:rsidR="006B6B73" w:rsidRPr="00F40195">
              <w:t xml:space="preserve"> total figure would provide sufficient funds for adequate instructional materials and texts for most non-severe special education students</w:t>
            </w:r>
            <w:r w:rsidR="009739FE" w:rsidRPr="00F40195">
              <w:t xml:space="preserve">. </w:t>
            </w:r>
            <w:r w:rsidR="006B6B73" w:rsidRPr="00F40195">
              <w:t>Modifications for severe special education cases would need to be funded from Special Education funds.</w:t>
            </w:r>
          </w:p>
          <w:p w:rsidR="006B6B73" w:rsidRPr="00F40195" w:rsidRDefault="006B6B73" w:rsidP="00F40195"/>
          <w:p w:rsidR="006B6B73" w:rsidRPr="00F40195" w:rsidRDefault="006B6B73" w:rsidP="00F40195">
            <w:r w:rsidRPr="00F40195">
              <w:rPr>
                <w:u w:val="single"/>
              </w:rPr>
              <w:t>Adoption Cycle</w:t>
            </w:r>
            <w:r w:rsidR="009739FE" w:rsidRPr="00F40195">
              <w:rPr>
                <w:i/>
              </w:rPr>
              <w:t xml:space="preserve">. </w:t>
            </w:r>
            <w:r w:rsidR="00F45E16" w:rsidRPr="00F40195">
              <w:t>Assuming a purchase of one textbook per student annually allows for a six-year adoption cycle</w:t>
            </w:r>
            <w:r w:rsidR="009739FE" w:rsidRPr="00F40195">
              <w:t xml:space="preserve">. </w:t>
            </w:r>
            <w:r w:rsidR="00F45E16" w:rsidRPr="00F40195">
              <w:t>The six-year adoption cycle fits nicely with the typical secondary schedule of six courses in a six period day</w:t>
            </w:r>
            <w:r w:rsidR="009739FE" w:rsidRPr="00F40195">
              <w:t xml:space="preserve">. </w:t>
            </w:r>
            <w:r w:rsidR="00F45E16" w:rsidRPr="00F40195">
              <w:t>It also comes close to matching the content areas covered at the elementary level.</w:t>
            </w:r>
          </w:p>
          <w:p w:rsidR="0088358A" w:rsidRDefault="0088358A" w:rsidP="00F40195"/>
          <w:p w:rsidR="003D442F" w:rsidRDefault="003D442F" w:rsidP="00F40195"/>
          <w:p w:rsidR="003D442F" w:rsidRDefault="003D442F" w:rsidP="00F40195"/>
          <w:p w:rsidR="003D442F" w:rsidRPr="00F40195" w:rsidRDefault="003D442F" w:rsidP="00F40195"/>
          <w:p w:rsidR="006B6B73" w:rsidRPr="00F40195" w:rsidRDefault="006B6B73" w:rsidP="00F40195">
            <w:pPr>
              <w:rPr>
                <w:b/>
              </w:rPr>
            </w:pPr>
            <w:r w:rsidRPr="00F40195">
              <w:rPr>
                <w:b/>
              </w:rPr>
              <w:lastRenderedPageBreak/>
              <w:t>Potential Secondary Six Year Adoption Cycle</w:t>
            </w:r>
          </w:p>
          <w:p w:rsidR="006B6B73" w:rsidRPr="00F40195" w:rsidRDefault="00132EEB" w:rsidP="00F40195">
            <w:pPr>
              <w:rPr>
                <w:rFonts w:eastAsiaTheme="minorHAnsi"/>
                <w:szCs w:val="22"/>
              </w:rPr>
            </w:pPr>
            <w:r w:rsidRPr="00F40195">
              <w:rPr>
                <w:noProof/>
              </w:rPr>
              <w:drawing>
                <wp:inline distT="0" distB="0" distL="0" distR="0">
                  <wp:extent cx="5943600"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rsidR="006B6B73" w:rsidRPr="00F40195" w:rsidRDefault="006B6B73" w:rsidP="00F40195"/>
          <w:p w:rsidR="006B6B73" w:rsidRPr="00F40195" w:rsidRDefault="006B6B73" w:rsidP="00F40195">
            <w:r w:rsidRPr="00F40195">
              <w:t>At the elementary level, there are fewer subject areas to be covered leaving the opportunity for a sixth year in the cycle to be used for purchasing not only additional supplementary texts but also con</w:t>
            </w:r>
            <w:r w:rsidR="00D953F4" w:rsidRPr="00F40195">
              <w:t>sumables/pedagogical aides</w:t>
            </w:r>
            <w:r w:rsidRPr="00F40195">
              <w:t>.</w:t>
            </w:r>
          </w:p>
          <w:p w:rsidR="006B6B73" w:rsidRPr="00F40195" w:rsidRDefault="006B6B73" w:rsidP="00F40195"/>
          <w:p w:rsidR="006B6B73" w:rsidRPr="00F40195" w:rsidRDefault="006B6B73" w:rsidP="00F40195">
            <w:pPr>
              <w:rPr>
                <w:b/>
              </w:rPr>
            </w:pPr>
            <w:r w:rsidRPr="00F40195">
              <w:rPr>
                <w:b/>
              </w:rPr>
              <w:t>Potential Elementary Six Year Adoption Cycle</w:t>
            </w:r>
          </w:p>
          <w:p w:rsidR="006B6B73" w:rsidRPr="00F40195" w:rsidRDefault="00132EEB" w:rsidP="00F40195">
            <w:pPr>
              <w:rPr>
                <w:rFonts w:eastAsiaTheme="minorHAnsi"/>
                <w:szCs w:val="22"/>
              </w:rPr>
            </w:pPr>
            <w:r w:rsidRPr="00F40195">
              <w:rPr>
                <w:noProof/>
              </w:rPr>
              <w:drawing>
                <wp:inline distT="0" distB="0" distL="0" distR="0">
                  <wp:extent cx="5943600" cy="703923"/>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5385" cy="704134"/>
                          </a:xfrm>
                          <a:prstGeom prst="rect">
                            <a:avLst/>
                          </a:prstGeom>
                          <a:noFill/>
                          <a:ln>
                            <a:noFill/>
                          </a:ln>
                        </pic:spPr>
                      </pic:pic>
                    </a:graphicData>
                  </a:graphic>
                </wp:inline>
              </w:drawing>
            </w:r>
          </w:p>
          <w:p w:rsidR="006B6B73" w:rsidRPr="00F40195" w:rsidRDefault="006B6B73" w:rsidP="00F40195">
            <w:pPr>
              <w:rPr>
                <w:u w:val="single"/>
              </w:rPr>
            </w:pPr>
          </w:p>
          <w:p w:rsidR="006B6B73" w:rsidRPr="00F40195" w:rsidRDefault="006B6B73" w:rsidP="00F40195">
            <w:r w:rsidRPr="00F40195">
              <w:rPr>
                <w:u w:val="single"/>
              </w:rPr>
              <w:t>Library Funds</w:t>
            </w:r>
            <w:r w:rsidR="009739FE" w:rsidRPr="00F40195">
              <w:rPr>
                <w:i/>
              </w:rPr>
              <w:t xml:space="preserve">. </w:t>
            </w:r>
            <w:r w:rsidRPr="00F40195">
              <w:t xml:space="preserve">The average national per pupil expenditure for library materials in the 1999-2000 school </w:t>
            </w:r>
            <w:proofErr w:type="gramStart"/>
            <w:r w:rsidRPr="00F40195">
              <w:t>year</w:t>
            </w:r>
            <w:proofErr w:type="gramEnd"/>
            <w:r w:rsidRPr="00F40195">
              <w:t xml:space="preserve"> was $15 (excluding library salaries)</w:t>
            </w:r>
            <w:r w:rsidR="009739FE" w:rsidRPr="00F40195">
              <w:t xml:space="preserve">. </w:t>
            </w:r>
            <w:r w:rsidRPr="00F40195">
              <w:t>This average varied by region with the West spending $14 per pupil annually and the Eastern states spending $19, and the North Central Region spending $16, with about 40 percent of the total used to purchase books and the remainder was spent on other instructional materials and/or services such as subscriptions to electronic databases (Michie &amp; Holton, 2005).</w:t>
            </w:r>
          </w:p>
          <w:p w:rsidR="0016222E" w:rsidRPr="00F40195" w:rsidRDefault="0016222E" w:rsidP="00F40195"/>
          <w:p w:rsidR="006B6B73" w:rsidRPr="00F40195" w:rsidRDefault="006B6B73" w:rsidP="00F40195">
            <w:r w:rsidRPr="00F40195">
              <w:t xml:space="preserve">As the world shifts to more digital resources, libraries are purchasing or using electronic databases such as online catalogs, the Internet, reference and bibliography databases, general article and news databases, college and career databases, academic subject databases, and electronic full-text books. In 2002, 25 percent of school libraries across the nation had no subscriptions, 44 percent had 1-3 subscriptions to electronic databases, 14 percent had 4-7 subscriptions, and 17 percent had subscriptions to 7 or more. Usually larger high schools subscribed to the most services (Scott, 2004). </w:t>
            </w:r>
          </w:p>
          <w:p w:rsidR="0016222E" w:rsidRPr="00F40195" w:rsidRDefault="0016222E" w:rsidP="00F40195"/>
          <w:p w:rsidR="006B6B73" w:rsidRPr="00F40195" w:rsidRDefault="006B6B73" w:rsidP="00F40195">
            <w:r w:rsidRPr="00F40195">
              <w:t>Electronic database services vary in price and scope and are usually charged to school districts on an annual per pupil basis</w:t>
            </w:r>
            <w:r w:rsidR="009739FE" w:rsidRPr="00F40195">
              <w:t xml:space="preserve">. </w:t>
            </w:r>
            <w:r w:rsidRPr="00F40195">
              <w:t>Depending on content of these databases, costs can range from $1-5 per database per year per pupil</w:t>
            </w:r>
            <w:r w:rsidR="009739FE" w:rsidRPr="00F40195">
              <w:t xml:space="preserve">. </w:t>
            </w:r>
          </w:p>
          <w:p w:rsidR="0016222E" w:rsidRPr="00F40195" w:rsidRDefault="0016222E" w:rsidP="00F40195"/>
          <w:p w:rsidR="00D5218F" w:rsidRPr="00F40195" w:rsidRDefault="0071225C" w:rsidP="00F40195">
            <w:r w:rsidRPr="00F40195">
              <w:t>Inflating</w:t>
            </w:r>
            <w:r w:rsidR="006B6B73" w:rsidRPr="00F40195">
              <w:t xml:space="preserve"> these numbers to adequately meet the needs of the school libraries, the EB model includes funding </w:t>
            </w:r>
            <w:r w:rsidRPr="00F40195">
              <w:t xml:space="preserve">of $25 per pupil for elementary and </w:t>
            </w:r>
            <w:r w:rsidR="006B6B73" w:rsidRPr="00F40195">
              <w:t>middle</w:t>
            </w:r>
            <w:r w:rsidRPr="00F40195">
              <w:t xml:space="preserve"> schools and $30 per pupil for h</w:t>
            </w:r>
            <w:r w:rsidR="006B6B73" w:rsidRPr="00F40195">
              <w:t xml:space="preserve">igh schools </w:t>
            </w:r>
            <w:r w:rsidRPr="00F40195">
              <w:t>to pay for</w:t>
            </w:r>
            <w:r w:rsidR="006B6B73" w:rsidRPr="00F40195">
              <w:t xml:space="preserve"> library text and electronic services</w:t>
            </w:r>
            <w:r w:rsidR="009739FE" w:rsidRPr="00F40195">
              <w:t xml:space="preserve">. </w:t>
            </w:r>
            <w:r w:rsidR="006B6B73" w:rsidRPr="00F40195">
              <w:t xml:space="preserve">These figures </w:t>
            </w:r>
            <w:r w:rsidR="00E031C3" w:rsidRPr="00F40195">
              <w:t xml:space="preserve">modestly </w:t>
            </w:r>
            <w:r w:rsidRPr="00F40195">
              <w:t>excee</w:t>
            </w:r>
            <w:r w:rsidR="00E031C3" w:rsidRPr="00F40195">
              <w:t>d</w:t>
            </w:r>
            <w:r w:rsidR="006B6B73" w:rsidRPr="00F40195">
              <w:t xml:space="preserve"> the national average</w:t>
            </w:r>
            <w:r w:rsidRPr="00F40195">
              <w:t>,</w:t>
            </w:r>
            <w:r w:rsidR="006B6B73" w:rsidRPr="00F40195">
              <w:t xml:space="preserve"> allowing librarians to strengthen print collections</w:t>
            </w:r>
            <w:r w:rsidR="009739FE" w:rsidRPr="00F40195">
              <w:t xml:space="preserve">. </w:t>
            </w:r>
            <w:r w:rsidR="006B6B73" w:rsidRPr="00F40195">
              <w:t>At the same time, it allows schools to provide, and experiment with, the electronic database resources on which more and more students rely (Tenopir, 2003)</w:t>
            </w:r>
            <w:r w:rsidR="009739FE" w:rsidRPr="00F40195">
              <w:t xml:space="preserve">. </w:t>
            </w:r>
          </w:p>
        </w:tc>
      </w:tr>
    </w:tbl>
    <w:p w:rsidR="0088358A" w:rsidRDefault="0088358A">
      <w:pPr>
        <w:rPr>
          <w:rFonts w:eastAsiaTheme="majorEastAsia" w:cs="Times New Roman"/>
          <w:b/>
          <w:bCs/>
          <w:szCs w:val="24"/>
        </w:rPr>
      </w:pPr>
      <w:r>
        <w:lastRenderedPageBreak/>
        <w:br w:type="page"/>
      </w:r>
    </w:p>
    <w:p w:rsidR="00F45E16" w:rsidRPr="00F40195" w:rsidRDefault="00F45E16" w:rsidP="008D674A">
      <w:pPr>
        <w:pStyle w:val="Heading3"/>
      </w:pPr>
      <w:bookmarkStart w:id="119" w:name="_Toc395180704"/>
      <w:r w:rsidRPr="00F40195">
        <w:lastRenderedPageBreak/>
        <w:t>D.2</w:t>
      </w:r>
      <w:r w:rsidR="00D5218F" w:rsidRPr="00F40195">
        <w:t>5</w:t>
      </w:r>
      <w:r w:rsidRPr="00F40195">
        <w:t xml:space="preserve"> Short Cycle Formative Assessments</w:t>
      </w:r>
      <w:bookmarkEnd w:id="119"/>
    </w:p>
    <w:tbl>
      <w:tblPr>
        <w:tblStyle w:val="TableGrid"/>
        <w:tblW w:w="0" w:type="auto"/>
        <w:tblLook w:val="04A0" w:firstRow="1" w:lastRow="0" w:firstColumn="1" w:lastColumn="0" w:noHBand="0" w:noVBand="1"/>
      </w:tblPr>
      <w:tblGrid>
        <w:gridCol w:w="4788"/>
        <w:gridCol w:w="4788"/>
      </w:tblGrid>
      <w:tr w:rsidR="00F45E16" w:rsidRPr="00F40195" w:rsidTr="00CD259C">
        <w:tc>
          <w:tcPr>
            <w:tcW w:w="4788" w:type="dxa"/>
            <w:shd w:val="clear" w:color="auto" w:fill="C6D9F1" w:themeFill="text2" w:themeFillTint="33"/>
          </w:tcPr>
          <w:p w:rsidR="00F45E16" w:rsidRPr="00F40195" w:rsidRDefault="00F45E16" w:rsidP="00F40195">
            <w:pPr>
              <w:jc w:val="center"/>
              <w:rPr>
                <w:b/>
              </w:rPr>
            </w:pPr>
            <w:r w:rsidRPr="00F40195">
              <w:rPr>
                <w:b/>
              </w:rPr>
              <w:t>Current Kentucky Policy</w:t>
            </w:r>
          </w:p>
        </w:tc>
        <w:tc>
          <w:tcPr>
            <w:tcW w:w="4788" w:type="dxa"/>
            <w:shd w:val="clear" w:color="auto" w:fill="C6D9F1" w:themeFill="text2" w:themeFillTint="33"/>
          </w:tcPr>
          <w:p w:rsidR="00F45E16" w:rsidRPr="00F40195" w:rsidRDefault="00F45E16" w:rsidP="00F40195">
            <w:pPr>
              <w:jc w:val="center"/>
              <w:rPr>
                <w:b/>
              </w:rPr>
            </w:pPr>
            <w:r w:rsidRPr="00F40195">
              <w:rPr>
                <w:b/>
              </w:rPr>
              <w:t>Evidence-Based Model</w:t>
            </w:r>
          </w:p>
        </w:tc>
      </w:tr>
      <w:tr w:rsidR="00F45E16" w:rsidRPr="00F40195" w:rsidTr="00CD259C">
        <w:tc>
          <w:tcPr>
            <w:tcW w:w="4788" w:type="dxa"/>
          </w:tcPr>
          <w:p w:rsidR="00F45E16" w:rsidRPr="00F40195" w:rsidRDefault="00F45E16" w:rsidP="00F40195">
            <w:pPr>
              <w:pStyle w:val="ListParagraph"/>
              <w:ind w:left="90"/>
              <w:rPr>
                <w:rFonts w:eastAsiaTheme="minorHAnsi"/>
                <w:b/>
                <w:szCs w:val="22"/>
              </w:rPr>
            </w:pPr>
            <w:r w:rsidRPr="00F40195">
              <w:rPr>
                <w:szCs w:val="24"/>
              </w:rPr>
              <w:t>There is no specific provision in the KY SEEK formula for this element</w:t>
            </w:r>
            <w:r w:rsidRPr="00F40195">
              <w:rPr>
                <w:rFonts w:eastAsiaTheme="minorHAnsi"/>
                <w:b/>
                <w:szCs w:val="22"/>
              </w:rPr>
              <w:t xml:space="preserve"> </w:t>
            </w:r>
          </w:p>
        </w:tc>
        <w:tc>
          <w:tcPr>
            <w:tcW w:w="4788" w:type="dxa"/>
          </w:tcPr>
          <w:p w:rsidR="00F45E16" w:rsidRPr="00F40195" w:rsidRDefault="00F45E16" w:rsidP="00844962">
            <w:pPr>
              <w:rPr>
                <w:rFonts w:eastAsiaTheme="minorHAnsi"/>
                <w:b/>
                <w:szCs w:val="22"/>
              </w:rPr>
            </w:pPr>
            <w:r w:rsidRPr="00F40195">
              <w:t>The EB model provides: $30 per every PK-12 student</w:t>
            </w:r>
          </w:p>
        </w:tc>
      </w:tr>
      <w:tr w:rsidR="00F45E16" w:rsidRPr="00F40195" w:rsidTr="00CD259C">
        <w:tc>
          <w:tcPr>
            <w:tcW w:w="4788" w:type="dxa"/>
          </w:tcPr>
          <w:p w:rsidR="00F45E16" w:rsidRPr="00F40195" w:rsidRDefault="00F45E16" w:rsidP="00F40195">
            <w:pPr>
              <w:pStyle w:val="ListParagraph"/>
              <w:rPr>
                <w:szCs w:val="24"/>
              </w:rPr>
            </w:pPr>
            <w:r w:rsidRPr="00F40195">
              <w:rPr>
                <w:b/>
              </w:rPr>
              <w:t>Stakeholder Panel Recommendation</w:t>
            </w:r>
          </w:p>
        </w:tc>
        <w:tc>
          <w:tcPr>
            <w:tcW w:w="4788" w:type="dxa"/>
          </w:tcPr>
          <w:p w:rsidR="00F45E16" w:rsidRPr="00F40195" w:rsidRDefault="00F45E16" w:rsidP="00F40195">
            <w:r w:rsidRPr="00F40195">
              <w:rPr>
                <w:b/>
              </w:rPr>
              <w:t>Advisory Committee Recommendation</w:t>
            </w:r>
          </w:p>
        </w:tc>
      </w:tr>
      <w:tr w:rsidR="00F45E16" w:rsidRPr="00F40195" w:rsidTr="00CD259C">
        <w:tc>
          <w:tcPr>
            <w:tcW w:w="4788" w:type="dxa"/>
          </w:tcPr>
          <w:p w:rsidR="00F45E16" w:rsidRPr="00F40195" w:rsidRDefault="00CF188D" w:rsidP="00844962">
            <w:pPr>
              <w:pStyle w:val="ListParagraph"/>
              <w:ind w:left="0"/>
              <w:jc w:val="both"/>
              <w:rPr>
                <w:szCs w:val="24"/>
              </w:rPr>
            </w:pPr>
            <w:r w:rsidRPr="00F40195">
              <w:rPr>
                <w:rFonts w:eastAsiaTheme="minorHAnsi"/>
                <w:szCs w:val="22"/>
              </w:rPr>
              <w:t>Same as EB Model.</w:t>
            </w:r>
          </w:p>
        </w:tc>
        <w:tc>
          <w:tcPr>
            <w:tcW w:w="4788" w:type="dxa"/>
          </w:tcPr>
          <w:p w:rsidR="00F45E16" w:rsidRPr="00F40195" w:rsidRDefault="00CF188D" w:rsidP="00F40195">
            <w:r w:rsidRPr="00F40195">
              <w:t>Same as EB Model, with request to investigate the intersection of this component with Instructional Materials component.</w:t>
            </w:r>
          </w:p>
        </w:tc>
      </w:tr>
      <w:tr w:rsidR="00F45E16" w:rsidRPr="00F40195" w:rsidTr="00CD259C">
        <w:tc>
          <w:tcPr>
            <w:tcW w:w="9576" w:type="dxa"/>
            <w:gridSpan w:val="2"/>
            <w:shd w:val="clear" w:color="auto" w:fill="C6D9F1" w:themeFill="text2" w:themeFillTint="33"/>
          </w:tcPr>
          <w:p w:rsidR="00F45E16" w:rsidRPr="00F40195" w:rsidRDefault="00F45E16" w:rsidP="00F40195">
            <w:pPr>
              <w:jc w:val="center"/>
              <w:rPr>
                <w:b/>
              </w:rPr>
            </w:pPr>
            <w:r w:rsidRPr="00F40195">
              <w:rPr>
                <w:b/>
              </w:rPr>
              <w:t>Analysis and Evidence</w:t>
            </w:r>
          </w:p>
        </w:tc>
      </w:tr>
      <w:tr w:rsidR="00F45E16" w:rsidRPr="00F40195" w:rsidTr="00CD259C">
        <w:tc>
          <w:tcPr>
            <w:tcW w:w="9576" w:type="dxa"/>
            <w:gridSpan w:val="2"/>
          </w:tcPr>
          <w:p w:rsidR="00F45E16" w:rsidRPr="00F40195" w:rsidRDefault="00F45E16" w:rsidP="00F40195">
            <w:r w:rsidRPr="00F40195">
              <w:t>Data-based decision making has become an important element in school reform over the past decade</w:t>
            </w:r>
            <w:r w:rsidR="009739FE" w:rsidRPr="00F40195">
              <w:t xml:space="preserve">. </w:t>
            </w:r>
            <w:r w:rsidRPr="00F40195">
              <w:t>It began with the seminal work of Black and Wiliam (1998) on how ongoing data on student performance could be used by teachers to frame and reform instructional practice, and continued with current best practice on how professional learning communities use student data to improve teaching and learning (DuFour, et al., 2010; Steiny, 2009)</w:t>
            </w:r>
            <w:r w:rsidR="009739FE" w:rsidRPr="00F40195">
              <w:t xml:space="preserve">. </w:t>
            </w:r>
            <w:r w:rsidRPr="00F40195">
              <w:t>The goal is to have teachers use data to inform their instructional practice, identify students who need interventions</w:t>
            </w:r>
            <w:r w:rsidR="00B9037A" w:rsidRPr="00F40195">
              <w:t xml:space="preserve"> and progress monitor the results,</w:t>
            </w:r>
            <w:r w:rsidRPr="00F40195">
              <w:t xml:space="preserve"> and </w:t>
            </w:r>
            <w:r w:rsidR="00B9037A" w:rsidRPr="00F40195">
              <w:t xml:space="preserve">hone overall strategies to </w:t>
            </w:r>
            <w:r w:rsidRPr="00F40195">
              <w:t>improve student performance (Boudett, City &amp; Murnane, 2007)</w:t>
            </w:r>
            <w:r w:rsidR="009739FE" w:rsidRPr="00F40195">
              <w:t xml:space="preserve">. </w:t>
            </w:r>
            <w:r w:rsidRPr="00F40195">
              <w:t>As a result, data based decision making has become a central element of schools that are moving the student achievement needle (Odden, 2009, 2012).</w:t>
            </w:r>
          </w:p>
          <w:p w:rsidR="00F45E16" w:rsidRPr="00F40195" w:rsidRDefault="00F45E16" w:rsidP="00F40195"/>
          <w:p w:rsidR="00F45E16" w:rsidRPr="00F40195" w:rsidRDefault="00F45E16" w:rsidP="00F40195">
            <w:r w:rsidRPr="00F40195">
              <w:t>Recent research on data-based decision making has documented significant, positive impacts on student learning</w:t>
            </w:r>
            <w:r w:rsidR="009739FE" w:rsidRPr="00F40195">
              <w:t xml:space="preserve">. </w:t>
            </w:r>
            <w:r w:rsidRPr="00F40195">
              <w:t>For example, Marsh, McCombs and Martorell (2010) showed how data-driven decision making in combination with instructional coaches produced improvements in teaching practice as well as student achievement</w:t>
            </w:r>
            <w:r w:rsidR="009739FE" w:rsidRPr="00F40195">
              <w:t xml:space="preserve">. </w:t>
            </w:r>
            <w:r w:rsidRPr="00F40195">
              <w:t xml:space="preserve">Further, a recent study of such efforts using the gold standard of research -- </w:t>
            </w:r>
            <w:r w:rsidRPr="00F40195">
              <w:rPr>
                <w:i/>
              </w:rPr>
              <w:t>randomized controlled trial</w:t>
            </w:r>
            <w:r w:rsidRPr="00F40195">
              <w:t xml:space="preserve"> – showed that engaging in data-based decision making using interim assessment data improved student achievement in both mathematics and reading (Carlson, Borman &amp; Robinson, 2011).</w:t>
            </w:r>
          </w:p>
          <w:p w:rsidR="00F45E16" w:rsidRPr="00F40195" w:rsidRDefault="00F45E16" w:rsidP="00F40195"/>
          <w:p w:rsidR="00F45E16" w:rsidRPr="00F40195" w:rsidRDefault="00F45E16" w:rsidP="00F40195">
            <w:r w:rsidRPr="00F40195">
              <w:t>There is some confusion in terminology when referring to these new assessment data</w:t>
            </w:r>
            <w:r w:rsidR="009739FE" w:rsidRPr="00F40195">
              <w:t xml:space="preserve">. </w:t>
            </w:r>
            <w:r w:rsidRPr="00F40195">
              <w:t xml:space="preserve">Generally, these data are student performance data different from those provided by state accountability or summative </w:t>
            </w:r>
            <w:r w:rsidR="00564A4C" w:rsidRPr="00F40195">
              <w:t>testing</w:t>
            </w:r>
            <w:r w:rsidR="009739FE" w:rsidRPr="00F40195">
              <w:t xml:space="preserve">. </w:t>
            </w:r>
            <w:r w:rsidRPr="00F40195">
              <w:t>The most generic term is “interim data,” meaning assessment data collected in the interim between the annual administrations of state tests, though some practitioners and writers refer to such data as “formative assessments.”  There are at least two kind of such “interim” assessment data</w:t>
            </w:r>
            <w:r w:rsidR="009739FE" w:rsidRPr="00F40195">
              <w:t xml:space="preserve">. </w:t>
            </w:r>
            <w:r w:rsidRPr="00F40195">
              <w:t>Benchmark assessments, such as those provided by the Northwest Evaluation System called MAP (</w:t>
            </w:r>
            <w:hyperlink r:id="rId33" w:history="1">
              <w:r w:rsidRPr="00F40195">
                <w:rPr>
                  <w:rStyle w:val="Hyperlink"/>
                </w:rPr>
                <w:t>www.nwea.org</w:t>
              </w:r>
            </w:hyperlink>
            <w:r w:rsidRPr="00F40195">
              <w:t xml:space="preserve"> ), which </w:t>
            </w:r>
            <w:proofErr w:type="gramStart"/>
            <w:r w:rsidRPr="00F40195">
              <w:t>are</w:t>
            </w:r>
            <w:proofErr w:type="gramEnd"/>
            <w:r w:rsidRPr="00F40195">
              <w:t xml:space="preserve"> given 2-3 times a year, often at the beginning, middle and end of the year</w:t>
            </w:r>
            <w:r w:rsidR="009739FE" w:rsidRPr="00F40195">
              <w:t xml:space="preserve">. </w:t>
            </w:r>
            <w:r w:rsidRPr="00F40195">
              <w:t>They are meant to provide “benchmark” information so teachers can see during the year how students are progressing in their learning</w:t>
            </w:r>
            <w:r w:rsidR="009739FE" w:rsidRPr="00F40195">
              <w:t xml:space="preserve">. </w:t>
            </w:r>
            <w:r w:rsidRPr="00F40195">
              <w:t>Sometimes these benchmark assessments are given just twice, once in the fall and again in late spring, and function just as a pre- and post-test for the school year, even though some practitioners erroneously refer to tests used this way as “formative assessments.”  They cannot be used for progress monitoring in a Response to Intervention program of extra help for struggling students.</w:t>
            </w:r>
          </w:p>
          <w:p w:rsidR="00F45E16" w:rsidRPr="00F40195" w:rsidRDefault="00F45E16" w:rsidP="00F40195"/>
          <w:p w:rsidR="00F45E16" w:rsidRPr="00F40195" w:rsidRDefault="00F45E16" w:rsidP="00F40195">
            <w:r w:rsidRPr="00F40195">
              <w:t>A second type of assessment data is collected at shorter time cycles within every quarter, such as monthly, and often referred to as “short cycle” or “formative” assessments</w:t>
            </w:r>
            <w:r w:rsidR="009739FE" w:rsidRPr="00F40195">
              <w:t xml:space="preserve">. </w:t>
            </w:r>
            <w:r w:rsidRPr="00F40195">
              <w:t xml:space="preserve">These more “micro” </w:t>
            </w:r>
            <w:r w:rsidRPr="00F40195">
              <w:lastRenderedPageBreak/>
              <w:t>student outcome data are meant to be used by teachers both to plan instructional strategies before a curriculum unit is taught and to track student performance for the two-to-three curriculum concepts that would normally be taught during a nine week or so instructional period.</w:t>
            </w:r>
          </w:p>
          <w:p w:rsidR="00F45E16" w:rsidRPr="00F40195" w:rsidRDefault="00F45E16" w:rsidP="00F40195"/>
          <w:p w:rsidR="00F45E16" w:rsidRPr="00F40195" w:rsidRDefault="00F45E16" w:rsidP="00F40195">
            <w:r w:rsidRPr="00F40195">
              <w:t>Examples of “short cycle” assessments include STAR Enterprise from Renaissance Learning, which in an online, adaptive system that provides data in reading and mathematics for grades Prek-12</w:t>
            </w:r>
            <w:r w:rsidR="009739FE" w:rsidRPr="00F40195">
              <w:t xml:space="preserve">. </w:t>
            </w:r>
            <w:r w:rsidRPr="00F40195">
              <w:t xml:space="preserve">The basic package costs less than $10 a student per subject, takes students just about 10-15 minutes to take the test, </w:t>
            </w:r>
            <w:r w:rsidR="00065699" w:rsidRPr="00F40195">
              <w:t xml:space="preserve">is </w:t>
            </w:r>
            <w:r w:rsidRPr="00F40195">
              <w:t>now aligned to the Common Core, and can be augmented with professional development activities and programs</w:t>
            </w:r>
            <w:r w:rsidR="009739FE" w:rsidRPr="00F40195">
              <w:t xml:space="preserve">. </w:t>
            </w:r>
            <w:r w:rsidRPr="00F40195">
              <w:t>Many Reading First schools as well as many schools we have studied (Odden &amp; Archibald, 2009; Odden, 2009) use the Dynamic Indicators of Basic Early Literacy Skills (DIBELS) formative assessments (</w:t>
            </w:r>
            <w:hyperlink r:id="rId34" w:history="1">
              <w:r w:rsidRPr="00F40195">
                <w:rPr>
                  <w:rStyle w:val="Hyperlink"/>
                </w:rPr>
                <w:t>http://dibels.uoregon.edu</w:t>
              </w:r>
            </w:hyperlink>
            <w:r w:rsidRPr="00F40195">
              <w:t xml:space="preserve"> )</w:t>
            </w:r>
            <w:r w:rsidR="009739FE" w:rsidRPr="00F40195">
              <w:t xml:space="preserve">. </w:t>
            </w:r>
          </w:p>
          <w:p w:rsidR="00F45E16" w:rsidRPr="00F40195" w:rsidRDefault="00F45E16" w:rsidP="00F40195"/>
          <w:p w:rsidR="00F45E16" w:rsidRPr="00F40195" w:rsidRDefault="00F45E16" w:rsidP="00F40195">
            <w:r w:rsidRPr="00F40195">
              <w:t>The Wireless Generation (</w:t>
            </w:r>
            <w:hyperlink r:id="rId35" w:history="1">
              <w:r w:rsidRPr="00F40195">
                <w:rPr>
                  <w:rStyle w:val="Hyperlink"/>
                </w:rPr>
                <w:t>www.wirelessgeneration.com</w:t>
              </w:r>
            </w:hyperlink>
            <w:r w:rsidRPr="00F40195">
              <w:t xml:space="preserve"> )</w:t>
            </w:r>
            <w:r w:rsidR="00C44543">
              <w:t>, now incorporated into the Fox Corporation’s Amplify Education program,</w:t>
            </w:r>
            <w:r w:rsidRPr="00F40195">
              <w:t xml:space="preserve"> has created a formative assessment, quite similar to </w:t>
            </w:r>
            <w:proofErr w:type="gramStart"/>
            <w:r w:rsidRPr="00F40195">
              <w:t>DIBELS, that</w:t>
            </w:r>
            <w:proofErr w:type="gramEnd"/>
            <w:r w:rsidRPr="00F40195">
              <w:t xml:space="preserve"> can be used with a handheld, mobile, electronic device</w:t>
            </w:r>
            <w:r w:rsidR="009739FE" w:rsidRPr="00F40195">
              <w:t xml:space="preserve">. </w:t>
            </w:r>
            <w:r w:rsidRPr="00F40195">
              <w:t>The company also offers a web service that provides professional development for teachers on how to turn the results into specific instructional strategies, including video clips of how to teach certain reading skills</w:t>
            </w:r>
            <w:r w:rsidR="009739FE" w:rsidRPr="00F40195">
              <w:t xml:space="preserve">. </w:t>
            </w:r>
          </w:p>
        </w:tc>
      </w:tr>
    </w:tbl>
    <w:p w:rsidR="006B6B73" w:rsidRPr="00F40195" w:rsidRDefault="006B6B73" w:rsidP="008D674A">
      <w:pPr>
        <w:pStyle w:val="Heading3"/>
      </w:pPr>
      <w:bookmarkStart w:id="120" w:name="_Toc395180705"/>
      <w:r w:rsidRPr="00F40195">
        <w:lastRenderedPageBreak/>
        <w:t>D.</w:t>
      </w:r>
      <w:r w:rsidR="00E16A50" w:rsidRPr="00F40195">
        <w:t>2</w:t>
      </w:r>
      <w:r w:rsidR="00D5218F" w:rsidRPr="00F40195">
        <w:t>6</w:t>
      </w:r>
      <w:r w:rsidRPr="00F40195">
        <w:t xml:space="preserve"> Student Activities</w:t>
      </w:r>
      <w:bookmarkEnd w:id="120"/>
      <w:r w:rsidRPr="00F40195">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816DF3" w:rsidP="00F40195">
            <w:pPr>
              <w:spacing w:after="200"/>
              <w:rPr>
                <w:b/>
              </w:rPr>
            </w:pPr>
            <w:r w:rsidRPr="00F40195">
              <w:rPr>
                <w:szCs w:val="24"/>
              </w:rPr>
              <w:t>There is no specific provision in the KY SEEK formula for this element</w:t>
            </w:r>
            <w:r w:rsidR="0088358A">
              <w:rPr>
                <w:b/>
              </w:rPr>
              <w:t>.</w:t>
            </w:r>
          </w:p>
        </w:tc>
        <w:tc>
          <w:tcPr>
            <w:tcW w:w="4788" w:type="dxa"/>
          </w:tcPr>
          <w:p w:rsidR="006B6B73" w:rsidRPr="00F40195" w:rsidRDefault="00456A11" w:rsidP="00BD1A57">
            <w:pPr>
              <w:rPr>
                <w:b/>
              </w:rPr>
            </w:pPr>
            <w:r w:rsidRPr="00F40195">
              <w:t>The EB provides</w:t>
            </w:r>
            <w:r w:rsidR="000B0FAB" w:rsidRPr="00F40195">
              <w:t xml:space="preserve">: </w:t>
            </w:r>
            <w:r w:rsidRPr="00F40195">
              <w:t xml:space="preserve">$250 per pupil for student activities at all grade levels. </w:t>
            </w:r>
          </w:p>
        </w:tc>
      </w:tr>
      <w:tr w:rsidR="00664B27" w:rsidRPr="00F40195">
        <w:tc>
          <w:tcPr>
            <w:tcW w:w="4788" w:type="dxa"/>
          </w:tcPr>
          <w:p w:rsidR="00664B27" w:rsidRPr="00F40195" w:rsidRDefault="00664B27" w:rsidP="00F40195">
            <w:pPr>
              <w:spacing w:after="200"/>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88358A" w:rsidRPr="0088358A" w:rsidRDefault="00A81F9C" w:rsidP="00BD1A57">
            <w:pPr>
              <w:pStyle w:val="Default"/>
              <w:rPr>
                <w:rFonts w:eastAsiaTheme="minorHAnsi"/>
                <w:szCs w:val="22"/>
              </w:rPr>
            </w:pPr>
            <w:r w:rsidRPr="00F40195">
              <w:rPr>
                <w:rFonts w:eastAsiaTheme="minorHAnsi"/>
                <w:szCs w:val="22"/>
              </w:rPr>
              <w:t>Same as EB Model with a request for a provision that prevents the exclusive use of funds for athletics.</w:t>
            </w:r>
          </w:p>
        </w:tc>
        <w:tc>
          <w:tcPr>
            <w:tcW w:w="4788" w:type="dxa"/>
          </w:tcPr>
          <w:p w:rsidR="00664B27" w:rsidRPr="00F40195" w:rsidRDefault="00CF188D" w:rsidP="00F40195">
            <w:r w:rsidRPr="00F40195">
              <w:t>Same as EB Model.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6B6B73" w:rsidP="00F40195">
            <w:r w:rsidRPr="00F40195">
              <w:t>Elementary, middle and high schools typically provide an array of after-school programs, from clubs, bands, and other activities to sports</w:t>
            </w:r>
            <w:r w:rsidR="009739FE" w:rsidRPr="00F40195">
              <w:t xml:space="preserve">. </w:t>
            </w:r>
            <w:r w:rsidRPr="00F40195">
              <w:t>Teachers supervising or coaching in these activities usually receive small stipends for these extra duties</w:t>
            </w:r>
            <w:r w:rsidR="009739FE" w:rsidRPr="00F40195">
              <w:t xml:space="preserve">. </w:t>
            </w:r>
            <w:r w:rsidRPr="00F40195">
              <w:t>Further, research shows, particularly at the secondary level, that students engaged in these activities tend to perform better academically than students not so engaged (Feldman &amp; Matjasko, 2005), though too much extra</w:t>
            </w:r>
            <w:r w:rsidR="004D2DA3" w:rsidRPr="00F40195">
              <w:t>-</w:t>
            </w:r>
            <w:r w:rsidRPr="00F40195">
              <w:t>curricular activity can be a detriment to academic learning (Committee on Increasing High School Students’ Engagement and Motivation to Learn, 2004; Steinberg, 1997).</w:t>
            </w:r>
          </w:p>
          <w:p w:rsidR="00456A11" w:rsidRPr="00F40195" w:rsidRDefault="00456A11" w:rsidP="00F40195"/>
          <w:p w:rsidR="00456A11" w:rsidRPr="00F40195" w:rsidRDefault="00456A11" w:rsidP="00F40195">
            <w:r w:rsidRPr="00F40195">
              <w:t>In earlier adequacy work in a variety of states, the EB model included amounts in the range of $60/pupil for middle school students and $120/pupil for high school students</w:t>
            </w:r>
            <w:r w:rsidR="009739FE" w:rsidRPr="00F40195">
              <w:t xml:space="preserve">. </w:t>
            </w:r>
            <w:r w:rsidRPr="00F40195">
              <w:t xml:space="preserve">But subsequent research in additional states has found that these figures </w:t>
            </w:r>
            <w:r w:rsidR="00152176" w:rsidRPr="00F40195">
              <w:t>we</w:t>
            </w:r>
            <w:r w:rsidR="00E031C3" w:rsidRPr="00F40195">
              <w:t>r</w:t>
            </w:r>
            <w:r w:rsidR="00152176" w:rsidRPr="00F40195">
              <w:t xml:space="preserve">e </w:t>
            </w:r>
            <w:r w:rsidRPr="00F40195">
              <w:t>far below what districts and schools actually spend</w:t>
            </w:r>
            <w:r w:rsidR="009739FE" w:rsidRPr="00F40195">
              <w:t xml:space="preserve">. </w:t>
            </w:r>
            <w:r w:rsidRPr="00F40195">
              <w:t>An amount of $250/pupil across all grade levels more accurately reflects an adequate level of student activities resources, though the figures could vary by school level and state.</w:t>
            </w:r>
          </w:p>
        </w:tc>
      </w:tr>
    </w:tbl>
    <w:p w:rsidR="00BD1A57" w:rsidRDefault="00BD1A57">
      <w:pPr>
        <w:rPr>
          <w:rFonts w:eastAsiaTheme="majorEastAsia" w:cs="Times New Roman"/>
          <w:b/>
          <w:bCs/>
          <w:caps/>
          <w:szCs w:val="24"/>
        </w:rPr>
      </w:pPr>
      <w:r>
        <w:br w:type="page"/>
      </w:r>
    </w:p>
    <w:p w:rsidR="006B6B73" w:rsidRPr="00F40195" w:rsidRDefault="006B6B73" w:rsidP="007162A8">
      <w:pPr>
        <w:pStyle w:val="Heading2"/>
      </w:pPr>
      <w:bookmarkStart w:id="121" w:name="_Toc395180706"/>
      <w:r w:rsidRPr="00F40195">
        <w:lastRenderedPageBreak/>
        <w:t>E. District Resources</w:t>
      </w:r>
      <w:bookmarkEnd w:id="121"/>
    </w:p>
    <w:p w:rsidR="006B6B73" w:rsidRPr="00F40195" w:rsidRDefault="006B6B73" w:rsidP="00F40195">
      <w:pPr>
        <w:spacing w:line="240" w:lineRule="auto"/>
        <w:jc w:val="right"/>
        <w:rPr>
          <w:rStyle w:val="Heading1Char"/>
          <w:rFonts w:eastAsiaTheme="minorHAnsi" w:cs="Times New Roman"/>
          <w:b w:val="0"/>
          <w:bCs w:val="0"/>
          <w:caps w:val="0"/>
          <w:color w:val="1F497D" w:themeColor="text2"/>
        </w:rPr>
      </w:pPr>
    </w:p>
    <w:p w:rsidR="006B6B73" w:rsidRPr="00F40195" w:rsidRDefault="006B6B73" w:rsidP="00F40195">
      <w:pPr>
        <w:spacing w:line="240" w:lineRule="auto"/>
        <w:rPr>
          <w:rFonts w:cs="Times New Roman"/>
          <w:bCs/>
        </w:rPr>
      </w:pPr>
      <w:r w:rsidRPr="00F40195">
        <w:rPr>
          <w:rFonts w:cs="Times New Roman"/>
          <w:bCs/>
        </w:rPr>
        <w:t xml:space="preserve">In addition to </w:t>
      </w:r>
      <w:r w:rsidR="00264563" w:rsidRPr="00F40195">
        <w:rPr>
          <w:rFonts w:cs="Times New Roman"/>
          <w:bCs/>
        </w:rPr>
        <w:t>school-based</w:t>
      </w:r>
      <w:r w:rsidRPr="00F40195">
        <w:rPr>
          <w:rFonts w:cs="Times New Roman"/>
          <w:bCs/>
        </w:rPr>
        <w:t xml:space="preserve"> resources, education systems also need resources for</w:t>
      </w:r>
      <w:r w:rsidR="00264563" w:rsidRPr="00F40195">
        <w:rPr>
          <w:rFonts w:cs="Times New Roman"/>
          <w:bCs/>
        </w:rPr>
        <w:t xml:space="preserve"> district level expenditures including the district office and operations and maintenance</w:t>
      </w:r>
      <w:r w:rsidR="009739FE" w:rsidRPr="00F40195">
        <w:rPr>
          <w:rFonts w:cs="Times New Roman"/>
          <w:bCs/>
        </w:rPr>
        <w:t xml:space="preserve">. </w:t>
      </w:r>
      <w:r w:rsidR="00264563" w:rsidRPr="00F40195">
        <w:rPr>
          <w:rFonts w:cs="Times New Roman"/>
          <w:bCs/>
        </w:rPr>
        <w:t>These are outlined below.</w:t>
      </w:r>
    </w:p>
    <w:p w:rsidR="006B6B73" w:rsidRPr="00F40195" w:rsidRDefault="006B6B73" w:rsidP="008D674A">
      <w:pPr>
        <w:pStyle w:val="Heading3"/>
      </w:pPr>
      <w:bookmarkStart w:id="122" w:name="_Toc395180707"/>
      <w:r w:rsidRPr="00F40195">
        <w:t>E.25 Central Office</w:t>
      </w:r>
      <w:bookmarkEnd w:id="122"/>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816DF3" w:rsidP="00844962">
            <w:pPr>
              <w:spacing w:after="200"/>
              <w:rPr>
                <w:rFonts w:eastAsiaTheme="minorHAnsi"/>
                <w:b/>
              </w:rPr>
            </w:pPr>
            <w:r w:rsidRPr="00F40195">
              <w:rPr>
                <w:szCs w:val="24"/>
              </w:rPr>
              <w:t>There is no specific provision in the KY SEEK formula for this element</w:t>
            </w:r>
            <w:r w:rsidRPr="00F40195">
              <w:rPr>
                <w:b/>
              </w:rPr>
              <w:t>.</w:t>
            </w:r>
          </w:p>
        </w:tc>
        <w:tc>
          <w:tcPr>
            <w:tcW w:w="4788" w:type="dxa"/>
          </w:tcPr>
          <w:p w:rsidR="006B6B73" w:rsidRPr="00F40195" w:rsidRDefault="005E3417" w:rsidP="00934E17">
            <w:r w:rsidRPr="00F40195">
              <w:t>The</w:t>
            </w:r>
            <w:r w:rsidR="0022221E" w:rsidRPr="00F40195">
              <w:t xml:space="preserve"> EB </w:t>
            </w:r>
            <w:r w:rsidRPr="00F40195">
              <w:t xml:space="preserve">Model </w:t>
            </w:r>
            <w:r w:rsidR="0022221E" w:rsidRPr="00F40195">
              <w:t>computes a dollar per pupil figure for the Central office based on the number of FTE positions generated and the salary and benefit levels for those positions.</w:t>
            </w:r>
            <w:r w:rsidR="0088358A">
              <w:t xml:space="preserve"> </w:t>
            </w:r>
          </w:p>
        </w:tc>
      </w:tr>
      <w:tr w:rsidR="00664B27" w:rsidRPr="00F40195">
        <w:tc>
          <w:tcPr>
            <w:tcW w:w="4788" w:type="dxa"/>
          </w:tcPr>
          <w:p w:rsidR="00664B27" w:rsidRPr="00F40195" w:rsidRDefault="00664B27" w:rsidP="00F40195">
            <w:pPr>
              <w:spacing w:after="200"/>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CF188D" w:rsidP="00844962">
            <w:pPr>
              <w:pStyle w:val="Default"/>
            </w:pPr>
            <w:r w:rsidRPr="00F40195">
              <w:rPr>
                <w:rFonts w:eastAsiaTheme="minorHAnsi"/>
                <w:szCs w:val="22"/>
              </w:rPr>
              <w:t>Same as EB Model.</w:t>
            </w:r>
          </w:p>
        </w:tc>
        <w:tc>
          <w:tcPr>
            <w:tcW w:w="4788" w:type="dxa"/>
          </w:tcPr>
          <w:p w:rsidR="00664B27" w:rsidRPr="00F40195" w:rsidRDefault="00CF188D" w:rsidP="00F40195">
            <w:r w:rsidRPr="00F40195">
              <w:t>Same as EB Model. Al</w:t>
            </w:r>
            <w:r w:rsidR="00A81F9C" w:rsidRPr="00F40195">
              <w:t>t</w:t>
            </w:r>
            <w:r w:rsidRPr="00F40195">
              <w:t xml:space="preserve">hough positions may be </w:t>
            </w:r>
            <w:r w:rsidR="00A81F9C" w:rsidRPr="00F40195">
              <w:t>different;</w:t>
            </w:r>
            <w:r w:rsidRPr="00F40195">
              <w:t xml:space="preserve"> the cost seemed to be logical.</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6B6B73" w:rsidRPr="00F40195">
        <w:tc>
          <w:tcPr>
            <w:tcW w:w="9576" w:type="dxa"/>
            <w:gridSpan w:val="2"/>
          </w:tcPr>
          <w:p w:rsidR="006B6B73" w:rsidRPr="00F40195" w:rsidRDefault="006B6B73" w:rsidP="00F40195">
            <w:r w:rsidRPr="00F40195">
              <w:t>Elizabeth Swift used professional judgment panels to determine staffing for a prototypical district</w:t>
            </w:r>
            <w:r w:rsidR="00065699" w:rsidRPr="00F40195">
              <w:t xml:space="preserve"> of 3,500 students (</w:t>
            </w:r>
            <w:r w:rsidR="003D5744" w:rsidRPr="00F40195">
              <w:t xml:space="preserve">see also </w:t>
            </w:r>
            <w:r w:rsidR="00F354BE" w:rsidRPr="00F40195">
              <w:t xml:space="preserve">Swift, 2005, </w:t>
            </w:r>
            <w:r w:rsidR="003D5744" w:rsidRPr="00F40195">
              <w:t>Picus &amp; Odden, 2010</w:t>
            </w:r>
            <w:r w:rsidR="00311898" w:rsidRPr="00F40195">
              <w:t>, Odden &amp;Picus, 2014</w:t>
            </w:r>
            <w:r w:rsidR="003D5744" w:rsidRPr="00F40195">
              <w:t>)</w:t>
            </w:r>
            <w:r w:rsidR="009739FE" w:rsidRPr="00F40195">
              <w:t xml:space="preserve">. </w:t>
            </w:r>
            <w:r w:rsidRPr="00F40195">
              <w:t xml:space="preserve">Swift’s work formed the basis of </w:t>
            </w:r>
            <w:r w:rsidR="003D5744" w:rsidRPr="00F40195">
              <w:t>state</w:t>
            </w:r>
            <w:r w:rsidRPr="00F40195">
              <w:t xml:space="preserve"> analys</w:t>
            </w:r>
            <w:r w:rsidR="003D5744" w:rsidRPr="00F40195">
              <w:t>e</w:t>
            </w:r>
            <w:r w:rsidRPr="00F40195">
              <w:t xml:space="preserve">s, where in three states (Washington, Wisconsin and North Dakota) professional judgment panels </w:t>
            </w:r>
            <w:r w:rsidR="003D5744" w:rsidRPr="00F40195">
              <w:t>reviewed</w:t>
            </w:r>
            <w:r w:rsidRPr="00F40195">
              <w:t xml:space="preserve"> the basic recommendations that emerged from Swift’s research to estimate central office staffing requirements</w:t>
            </w:r>
            <w:r w:rsidR="009739FE" w:rsidRPr="00F40195">
              <w:t xml:space="preserve">. </w:t>
            </w:r>
          </w:p>
          <w:p w:rsidR="00264563" w:rsidRPr="00F40195" w:rsidRDefault="00264563" w:rsidP="00F40195"/>
          <w:p w:rsidR="00264563" w:rsidRPr="00F40195" w:rsidRDefault="003D5744" w:rsidP="00F40195">
            <w:r w:rsidRPr="00F40195">
              <w:t>T</w:t>
            </w:r>
            <w:r w:rsidR="006B6B73" w:rsidRPr="00F40195">
              <w:t>he central office resources required for a district of 3,500 students</w:t>
            </w:r>
            <w:r w:rsidRPr="00F40195">
              <w:t xml:space="preserve"> is</w:t>
            </w:r>
            <w:r w:rsidR="006B6B73" w:rsidRPr="00F40195">
              <w:t xml:space="preserve"> about 8 professional staff (superintendent, assistant superintendent for curriculum, business manager, and directors of human resources, pupil services, special education, technol</w:t>
            </w:r>
            <w:r w:rsidR="0071225C" w:rsidRPr="00F40195">
              <w:t>ogy and special education) and nine</w:t>
            </w:r>
            <w:r w:rsidR="006B6B73" w:rsidRPr="00F40195">
              <w:t xml:space="preserve"> clerical positions. Although the research basis for staffing school district central offices is relatively limited, analysis of the Education Research Servic</w:t>
            </w:r>
            <w:r w:rsidRPr="00F40195">
              <w:t>e</w:t>
            </w:r>
            <w:r w:rsidR="006B6B73" w:rsidRPr="00F40195">
              <w:t xml:space="preserve"> Staffing Ratio report shows that nationally school districts with between 2,500 and 9,999 students employ an average of one central office professional/administrative staff member for every 440.0 students (Education Research Services, 2009)</w:t>
            </w:r>
            <w:r w:rsidR="009739FE" w:rsidRPr="00F40195">
              <w:t xml:space="preserve">. </w:t>
            </w:r>
            <w:r w:rsidR="006B6B73" w:rsidRPr="00F40195">
              <w:t>Th</w:t>
            </w:r>
            <w:r w:rsidR="0071225C" w:rsidRPr="00F40195">
              <w:t>is works out to almost exactly eight</w:t>
            </w:r>
            <w:r w:rsidR="006B6B73" w:rsidRPr="00F40195">
              <w:t xml:space="preserve"> central office professionals (7.95) in a district of 3,500 students</w:t>
            </w:r>
            <w:r w:rsidR="009739FE" w:rsidRPr="00F40195">
              <w:t xml:space="preserve">. </w:t>
            </w:r>
          </w:p>
          <w:p w:rsidR="003D5744" w:rsidRPr="00F40195" w:rsidRDefault="003D5744" w:rsidP="00F40195"/>
          <w:p w:rsidR="006B6B73" w:rsidRPr="00F40195" w:rsidRDefault="003D5744" w:rsidP="00F40195">
            <w:r w:rsidRPr="00F40195">
              <w:t>The</w:t>
            </w:r>
            <w:r w:rsidR="006B6B73" w:rsidRPr="00F40195">
              <w:t xml:space="preserve"> prototypical school</w:t>
            </w:r>
            <w:r w:rsidRPr="00F40195">
              <w:t xml:space="preserve"> district </w:t>
            </w:r>
            <w:r w:rsidR="00E41B17" w:rsidRPr="00F40195">
              <w:t xml:space="preserve">for the EB model is slightly larger than 3,500 at </w:t>
            </w:r>
            <w:r w:rsidR="006B6B73" w:rsidRPr="00F40195">
              <w:t>3,900 students</w:t>
            </w:r>
            <w:r w:rsidR="00E41B17" w:rsidRPr="00F40195">
              <w:t>,</w:t>
            </w:r>
            <w:r w:rsidR="006B6B73" w:rsidRPr="00F40195">
              <w:t xml:space="preserve"> so </w:t>
            </w:r>
            <w:r w:rsidR="00E41B17" w:rsidRPr="00F40195">
              <w:t>a district</w:t>
            </w:r>
            <w:r w:rsidR="006B6B73" w:rsidRPr="00F40195">
              <w:t xml:space="preserve"> would include</w:t>
            </w:r>
            <w:r w:rsidR="00E41B17" w:rsidRPr="00F40195">
              <w:t xml:space="preserve"> </w:t>
            </w:r>
            <w:r w:rsidR="006B6B73" w:rsidRPr="00F40195">
              <w:t>four 450 student elementary schools, two 450 student middle schools, and two 600 student high schools. This larger size als</w:t>
            </w:r>
            <w:r w:rsidR="00E41B17" w:rsidRPr="00F40195">
              <w:t xml:space="preserve">o supports </w:t>
            </w:r>
            <w:r w:rsidR="006B6B73" w:rsidRPr="00F40195">
              <w:t>the testing and evaluation</w:t>
            </w:r>
            <w:r w:rsidR="0071225C" w:rsidRPr="00F40195">
              <w:t>,</w:t>
            </w:r>
            <w:r w:rsidR="006B6B73" w:rsidRPr="00F40195">
              <w:t xml:space="preserve"> and computer technician staff, which are needed today, while staying generally within the ERS parameters. </w:t>
            </w:r>
            <w:r w:rsidR="0071225C" w:rsidRPr="00F40195">
              <w:t>T</w:t>
            </w:r>
            <w:r w:rsidR="006B6B73" w:rsidRPr="00F40195">
              <w:t xml:space="preserve">he EB model includes </w:t>
            </w:r>
            <w:r w:rsidR="0071225C" w:rsidRPr="00F40195">
              <w:t>ten</w:t>
            </w:r>
            <w:r w:rsidR="006B6B73" w:rsidRPr="00F40195">
              <w:t xml:space="preserve"> professional staff positions and </w:t>
            </w:r>
            <w:r w:rsidR="0071225C" w:rsidRPr="00F40195">
              <w:t>nine</w:t>
            </w:r>
            <w:r w:rsidR="006B6B73" w:rsidRPr="00F40195">
              <w:t xml:space="preserve"> clerical staff for the central office of a prototypical school district with 3</w:t>
            </w:r>
            <w:r w:rsidR="0071225C" w:rsidRPr="00F40195">
              <w:t>,</w:t>
            </w:r>
            <w:r w:rsidR="006B6B73" w:rsidRPr="00F40195">
              <w:t>900 students.</w:t>
            </w:r>
          </w:p>
          <w:p w:rsidR="00264563" w:rsidRPr="00F40195" w:rsidRDefault="00264563" w:rsidP="00F40195"/>
          <w:p w:rsidR="006B6B73" w:rsidRPr="00F40195" w:rsidRDefault="006B6B73" w:rsidP="00F40195">
            <w:r w:rsidRPr="00F40195">
              <w:t>In addition to staffing, central offices need a dollar per pupil figure for such costs as insurance, purchased services, materials and supplies, equipment, association fees, elections, district wide technology, communications,</w:t>
            </w:r>
            <w:r w:rsidR="00264563" w:rsidRPr="00F40195">
              <w:t xml:space="preserve"> and other costs</w:t>
            </w:r>
            <w:r w:rsidR="009739FE" w:rsidRPr="00F40195">
              <w:t xml:space="preserve">. </w:t>
            </w:r>
          </w:p>
          <w:p w:rsidR="00264563" w:rsidRPr="00F40195" w:rsidRDefault="00264563" w:rsidP="00F40195"/>
          <w:p w:rsidR="006B6B73" w:rsidRPr="00465D68" w:rsidRDefault="006B6B73" w:rsidP="00F40195">
            <w:r w:rsidRPr="00F40195">
              <w:lastRenderedPageBreak/>
              <w:t>Larger districts would be provided the resources for a larger central office by prorating up the per pupil cost of this 3</w:t>
            </w:r>
            <w:r w:rsidR="00264563" w:rsidRPr="00F40195">
              <w:t>,</w:t>
            </w:r>
            <w:r w:rsidRPr="00F40195">
              <w:t>900 pupil central office, and also could have more differentiated staff with coordinators as well as a full-fledged leg</w:t>
            </w:r>
            <w:r w:rsidR="00465D68">
              <w:t>al counsel for large districts.</w:t>
            </w:r>
          </w:p>
        </w:tc>
      </w:tr>
    </w:tbl>
    <w:p w:rsidR="006B6B73" w:rsidRPr="00F40195" w:rsidRDefault="006B6B73" w:rsidP="008D674A">
      <w:pPr>
        <w:pStyle w:val="Heading3"/>
      </w:pPr>
      <w:bookmarkStart w:id="123" w:name="_Toc395180708"/>
      <w:r w:rsidRPr="00F40195">
        <w:lastRenderedPageBreak/>
        <w:t xml:space="preserve">E.26 </w:t>
      </w:r>
      <w:r w:rsidR="00465D68">
        <w:t>Maintenance and Operations</w:t>
      </w:r>
      <w:bookmarkEnd w:id="123"/>
      <w:r w:rsidR="00465D68">
        <w:t xml:space="preserve"> </w:t>
      </w:r>
    </w:p>
    <w:tbl>
      <w:tblPr>
        <w:tblStyle w:val="TableGrid"/>
        <w:tblW w:w="0" w:type="auto"/>
        <w:tblLook w:val="04A0" w:firstRow="1" w:lastRow="0" w:firstColumn="1" w:lastColumn="0" w:noHBand="0" w:noVBand="1"/>
      </w:tblPr>
      <w:tblGrid>
        <w:gridCol w:w="4788"/>
        <w:gridCol w:w="4788"/>
      </w:tblGrid>
      <w:tr w:rsidR="006B6B73" w:rsidRPr="00F40195">
        <w:tc>
          <w:tcPr>
            <w:tcW w:w="4788" w:type="dxa"/>
            <w:shd w:val="clear" w:color="auto" w:fill="C6D9F1" w:themeFill="text2" w:themeFillTint="33"/>
          </w:tcPr>
          <w:p w:rsidR="006B6B73" w:rsidRPr="00F40195" w:rsidRDefault="006B6B73"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6B6B73" w:rsidRPr="00F40195" w:rsidRDefault="006B6B73" w:rsidP="00F40195">
            <w:pPr>
              <w:jc w:val="center"/>
              <w:rPr>
                <w:b/>
              </w:rPr>
            </w:pPr>
            <w:r w:rsidRPr="00F40195">
              <w:rPr>
                <w:b/>
              </w:rPr>
              <w:t>Evidence-Based Model</w:t>
            </w:r>
          </w:p>
        </w:tc>
      </w:tr>
      <w:tr w:rsidR="006B6B73" w:rsidRPr="00F40195">
        <w:tc>
          <w:tcPr>
            <w:tcW w:w="4788" w:type="dxa"/>
          </w:tcPr>
          <w:p w:rsidR="006B6B73" w:rsidRPr="00F40195" w:rsidRDefault="00816DF3" w:rsidP="007162A8">
            <w:pPr>
              <w:spacing w:after="200"/>
              <w:rPr>
                <w:b/>
              </w:rPr>
            </w:pPr>
            <w:r w:rsidRPr="00F40195">
              <w:rPr>
                <w:szCs w:val="24"/>
              </w:rPr>
              <w:t>There is no specific provision in the KY SEEK formula for this element</w:t>
            </w:r>
            <w:r w:rsidRPr="00F40195">
              <w:rPr>
                <w:b/>
              </w:rPr>
              <w:t>.</w:t>
            </w:r>
          </w:p>
        </w:tc>
        <w:tc>
          <w:tcPr>
            <w:tcW w:w="4788" w:type="dxa"/>
          </w:tcPr>
          <w:p w:rsidR="006B6B73" w:rsidRPr="00F40195" w:rsidRDefault="0022221E" w:rsidP="00C44543">
            <w:pPr>
              <w:rPr>
                <w:b/>
              </w:rPr>
            </w:pPr>
            <w:r w:rsidRPr="00F40195">
              <w:t xml:space="preserve">Using the formulas described below, EB computes a dollar per pupil figure for the </w:t>
            </w:r>
            <w:r w:rsidR="00C44543">
              <w:t>maintenance and operations</w:t>
            </w:r>
            <w:r w:rsidRPr="00F40195">
              <w:t xml:space="preserve"> based on the number of FTE positions generated and the salary and benefit levels for those positions. </w:t>
            </w:r>
          </w:p>
        </w:tc>
      </w:tr>
      <w:tr w:rsidR="00664B27" w:rsidRPr="00F40195">
        <w:tc>
          <w:tcPr>
            <w:tcW w:w="4788" w:type="dxa"/>
          </w:tcPr>
          <w:p w:rsidR="00664B27" w:rsidRPr="00F40195" w:rsidRDefault="00664B27" w:rsidP="00F40195">
            <w:pPr>
              <w:spacing w:after="200"/>
              <w:rPr>
                <w:szCs w:val="24"/>
              </w:rPr>
            </w:pPr>
            <w:r w:rsidRPr="00F40195">
              <w:rPr>
                <w:b/>
              </w:rPr>
              <w:t>Stakeholder Panel Recommendation</w:t>
            </w:r>
          </w:p>
        </w:tc>
        <w:tc>
          <w:tcPr>
            <w:tcW w:w="4788" w:type="dxa"/>
          </w:tcPr>
          <w:p w:rsidR="00664B27" w:rsidRPr="00F40195" w:rsidRDefault="00664B27" w:rsidP="00F40195">
            <w:r w:rsidRPr="00F40195">
              <w:rPr>
                <w:b/>
              </w:rPr>
              <w:t>Advisory Committee Recommendation</w:t>
            </w:r>
          </w:p>
        </w:tc>
      </w:tr>
      <w:tr w:rsidR="00664B27" w:rsidRPr="00F40195">
        <w:tc>
          <w:tcPr>
            <w:tcW w:w="4788" w:type="dxa"/>
          </w:tcPr>
          <w:p w:rsidR="00664B27" w:rsidRPr="00F40195" w:rsidRDefault="003B69BD" w:rsidP="00F40195">
            <w:pPr>
              <w:spacing w:after="200"/>
              <w:rPr>
                <w:szCs w:val="24"/>
              </w:rPr>
            </w:pPr>
            <w:r w:rsidRPr="00F40195">
              <w:rPr>
                <w:rFonts w:eastAsiaTheme="minorHAnsi"/>
                <w:szCs w:val="22"/>
              </w:rPr>
              <w:t>Same as EB Model.</w:t>
            </w:r>
          </w:p>
        </w:tc>
        <w:tc>
          <w:tcPr>
            <w:tcW w:w="4788" w:type="dxa"/>
          </w:tcPr>
          <w:p w:rsidR="00664B27" w:rsidRPr="00F40195" w:rsidRDefault="003B69BD" w:rsidP="00F40195">
            <w:r w:rsidRPr="00F40195">
              <w:t>EB Model seems</w:t>
            </w:r>
            <w:r w:rsidR="00EE3D07" w:rsidRPr="00F40195">
              <w:t xml:space="preserve"> logical, but point of reference due to lack of current funding made it difficult to determine adequacy.</w:t>
            </w:r>
          </w:p>
        </w:tc>
      </w:tr>
      <w:tr w:rsidR="006B6B73" w:rsidRPr="00F40195">
        <w:tc>
          <w:tcPr>
            <w:tcW w:w="9576" w:type="dxa"/>
            <w:gridSpan w:val="2"/>
            <w:shd w:val="clear" w:color="auto" w:fill="C6D9F1" w:themeFill="text2" w:themeFillTint="33"/>
          </w:tcPr>
          <w:p w:rsidR="006B6B73" w:rsidRPr="00F40195" w:rsidRDefault="006B6B73" w:rsidP="00F40195">
            <w:pPr>
              <w:jc w:val="center"/>
              <w:rPr>
                <w:b/>
              </w:rPr>
            </w:pPr>
            <w:r w:rsidRPr="00F40195">
              <w:rPr>
                <w:b/>
              </w:rPr>
              <w:t>Analysis and Evidence</w:t>
            </w:r>
          </w:p>
        </w:tc>
      </w:tr>
      <w:tr w:rsidR="00C311B7" w:rsidRPr="00F40195">
        <w:tc>
          <w:tcPr>
            <w:tcW w:w="9576" w:type="dxa"/>
            <w:gridSpan w:val="2"/>
          </w:tcPr>
          <w:p w:rsidR="006B6B73" w:rsidRPr="00F40195" w:rsidRDefault="000004DA" w:rsidP="00F40195">
            <w:r w:rsidRPr="00F40195">
              <w:t>Recommendations in this section are based on several analyses of the cost basis for maintenance and operations</w:t>
            </w:r>
            <w:r w:rsidR="006B6B73" w:rsidRPr="00F40195">
              <w:t xml:space="preserve"> (e.g., Picus &amp; Odden, 2010; Picus &amp; Seder, 2010)</w:t>
            </w:r>
            <w:r w:rsidRPr="00F40195">
              <w:t xml:space="preserve">, including </w:t>
            </w:r>
            <w:r w:rsidR="006B6B73" w:rsidRPr="00F40195">
              <w:t>the costs for custodians (school level), maintenance staff (district level) and groundskeepers (school and district level)</w:t>
            </w:r>
            <w:r w:rsidR="00C65304" w:rsidRPr="00F40195">
              <w:t>,</w:t>
            </w:r>
            <w:r w:rsidR="006B6B73" w:rsidRPr="00F40195">
              <w:t xml:space="preserve"> as well as the costs of materials and supplies to support these activities.</w:t>
            </w:r>
          </w:p>
          <w:p w:rsidR="0022221E" w:rsidRPr="00F40195" w:rsidRDefault="0022221E" w:rsidP="00F40195"/>
          <w:p w:rsidR="00BE2097" w:rsidRPr="00F40195" w:rsidRDefault="006B6B73" w:rsidP="00F40195">
            <w:r w:rsidRPr="00F40195">
              <w:rPr>
                <w:u w:val="single"/>
              </w:rPr>
              <w:t>Custodians</w:t>
            </w:r>
            <w:r w:rsidRPr="00F40195">
              <w:rPr>
                <w:i/>
              </w:rPr>
              <w:t xml:space="preserve">: </w:t>
            </w:r>
            <w:r w:rsidRPr="00F40195">
              <w:t>Custodial workers’ duties are time-sensitive,</w:t>
            </w:r>
            <w:r w:rsidR="000004DA" w:rsidRPr="00F40195">
              <w:t xml:space="preserve"> </w:t>
            </w:r>
            <w:r w:rsidRPr="00F40195">
              <w:t>structured</w:t>
            </w:r>
            <w:r w:rsidR="000004DA" w:rsidRPr="00F40195">
              <w:t>,</w:t>
            </w:r>
            <w:r w:rsidRPr="00F40195">
              <w:t xml:space="preserve"> and varied</w:t>
            </w:r>
            <w:r w:rsidR="009739FE" w:rsidRPr="00F40195">
              <w:t xml:space="preserve">. </w:t>
            </w:r>
            <w:r w:rsidRPr="00F40195">
              <w:t>Zureich (1998) estimates the time devoted to various custodial duties:</w:t>
            </w:r>
          </w:p>
          <w:p w:rsidR="008443A8" w:rsidRPr="00F40195" w:rsidRDefault="008443A8" w:rsidP="00F40195"/>
          <w:p w:rsidR="00BE2097" w:rsidRPr="00F40195" w:rsidRDefault="006B6B73" w:rsidP="00F40195">
            <w:pPr>
              <w:pStyle w:val="ListParagraph"/>
              <w:numPr>
                <w:ilvl w:val="0"/>
                <w:numId w:val="23"/>
              </w:numPr>
              <w:rPr>
                <w:rFonts w:eastAsiaTheme="minorHAnsi"/>
                <w:b/>
                <w:bCs/>
                <w:color w:val="365F91" w:themeColor="accent1" w:themeShade="BF"/>
                <w:szCs w:val="22"/>
                <w:lang w:eastAsia="ja-JP"/>
              </w:rPr>
            </w:pPr>
            <w:r w:rsidRPr="00F40195">
              <w:t>Daily duties (sweep or vacuum classroom floors; empty trash cans and pencil sharpeners in each classroom; clean one sink with faucet; and, security of room), which take approximately 12 minutes per classroom.</w:t>
            </w:r>
          </w:p>
          <w:p w:rsidR="00BE2097" w:rsidRPr="00F40195" w:rsidRDefault="006B6B73" w:rsidP="00F40195">
            <w:pPr>
              <w:pStyle w:val="ListParagraph"/>
              <w:numPr>
                <w:ilvl w:val="0"/>
                <w:numId w:val="23"/>
              </w:numPr>
              <w:rPr>
                <w:rFonts w:eastAsiaTheme="minorHAnsi"/>
                <w:i/>
                <w:iCs/>
                <w:color w:val="243F60" w:themeColor="accent1" w:themeShade="7F"/>
                <w:szCs w:val="22"/>
              </w:rPr>
            </w:pPr>
            <w:r w:rsidRPr="00F40195">
              <w:t>Weekly duties (dust reachable surfaces; dust chalk trays and clean doors; clean student desk tops; clean sink counters and spots on floors; and, dust chalk/white boards and trays), each of which adds 5 minutes a day per classroom.</w:t>
            </w:r>
          </w:p>
          <w:p w:rsidR="006B6B73" w:rsidRPr="00F40195" w:rsidRDefault="006B6B73" w:rsidP="00F40195">
            <w:pPr>
              <w:pStyle w:val="ListParagraph"/>
              <w:numPr>
                <w:ilvl w:val="0"/>
                <w:numId w:val="23"/>
              </w:numPr>
              <w:rPr>
                <w:rFonts w:eastAsiaTheme="minorHAnsi"/>
                <w:i/>
                <w:iCs/>
                <w:color w:val="243F60" w:themeColor="accent1" w:themeShade="7F"/>
                <w:szCs w:val="22"/>
              </w:rPr>
            </w:pPr>
            <w:r w:rsidRPr="00F40195">
              <w:t>In addition to these services, non-cleaning services (approximately 145 minutes per day) provided by custodians include:  opening school (checking for vandalism, safety and maintenance concerns), playground and field inspection, miscellaneous duties (teacher/site-manager requests, activity set-ups, repairing furniture and equipment, ordering and delivering supplies), and putting up the Flag and PE equipment.</w:t>
            </w:r>
          </w:p>
          <w:p w:rsidR="0022221E" w:rsidRPr="00F40195" w:rsidRDefault="0022221E" w:rsidP="00F40195"/>
          <w:p w:rsidR="006B6B73" w:rsidRPr="00F40195" w:rsidRDefault="006B6B73" w:rsidP="00F40195">
            <w:r w:rsidRPr="00F40195">
              <w:t>A formula that takes into consideration these cleaning and non-cleaning duties has been developed and updated by Nelli (2006)</w:t>
            </w:r>
            <w:r w:rsidR="009739FE" w:rsidRPr="00F40195">
              <w:t xml:space="preserve">. </w:t>
            </w:r>
            <w:r w:rsidRPr="00F40195">
              <w:t>The formula takes into account teachers, students, classrooms and Gross Square Feet (GSF) in the school</w:t>
            </w:r>
            <w:r w:rsidR="009739FE" w:rsidRPr="00F40195">
              <w:t xml:space="preserve">. </w:t>
            </w:r>
            <w:r w:rsidRPr="00F40195">
              <w:t>The formula is:</w:t>
            </w:r>
          </w:p>
          <w:p w:rsidR="0022221E" w:rsidRPr="00F40195" w:rsidRDefault="0022221E" w:rsidP="00F40195"/>
          <w:p w:rsidR="006B6B73" w:rsidRPr="00F40195" w:rsidRDefault="006B6B73" w:rsidP="00F40195">
            <w:pPr>
              <w:numPr>
                <w:ilvl w:val="0"/>
                <w:numId w:val="9"/>
              </w:numPr>
            </w:pPr>
            <w:r w:rsidRPr="00F40195">
              <w:t>1 Custodian for every 13 teachers, plus</w:t>
            </w:r>
          </w:p>
          <w:p w:rsidR="006B6B73" w:rsidRPr="00F40195" w:rsidRDefault="006B6B73" w:rsidP="00F40195">
            <w:pPr>
              <w:numPr>
                <w:ilvl w:val="0"/>
                <w:numId w:val="9"/>
              </w:numPr>
            </w:pPr>
            <w:r w:rsidRPr="00F40195">
              <w:t>1 Custodian for every 325 students, plus</w:t>
            </w:r>
          </w:p>
          <w:p w:rsidR="006B6B73" w:rsidRPr="00F40195" w:rsidRDefault="006B6B73" w:rsidP="00F40195">
            <w:pPr>
              <w:numPr>
                <w:ilvl w:val="0"/>
                <w:numId w:val="9"/>
              </w:numPr>
            </w:pPr>
            <w:r w:rsidRPr="00F40195">
              <w:t>1 Custodian for every 13 classrooms, plus</w:t>
            </w:r>
          </w:p>
          <w:p w:rsidR="006B6B73" w:rsidRPr="00F40195" w:rsidRDefault="006B6B73" w:rsidP="00F40195">
            <w:pPr>
              <w:numPr>
                <w:ilvl w:val="0"/>
                <w:numId w:val="9"/>
              </w:numPr>
            </w:pPr>
            <w:r w:rsidRPr="00F40195">
              <w:lastRenderedPageBreak/>
              <w:t>1 Custodian for every 18,000</w:t>
            </w:r>
            <w:r w:rsidRPr="00F40195">
              <w:rPr>
                <w:b/>
              </w:rPr>
              <w:t xml:space="preserve"> </w:t>
            </w:r>
            <w:r w:rsidRPr="00F40195">
              <w:t>Gross Square Feet (GSF), and</w:t>
            </w:r>
          </w:p>
          <w:p w:rsidR="006B6B73" w:rsidRPr="00F40195" w:rsidRDefault="006B6B73" w:rsidP="00F40195">
            <w:pPr>
              <w:numPr>
                <w:ilvl w:val="0"/>
                <w:numId w:val="9"/>
              </w:numPr>
            </w:pPr>
            <w:r w:rsidRPr="00F40195">
              <w:t>The total divided by 4.</w:t>
            </w:r>
          </w:p>
          <w:p w:rsidR="006B6B73" w:rsidRPr="00F40195" w:rsidRDefault="006B6B73" w:rsidP="00F40195"/>
          <w:p w:rsidR="006B6B73" w:rsidRPr="00F40195" w:rsidRDefault="006B6B73" w:rsidP="00F40195">
            <w:r w:rsidRPr="00F40195">
              <w:t>The formula provides a numeric equivalent of the number of custodians needed at prototypical schools</w:t>
            </w:r>
            <w:r w:rsidR="009739FE" w:rsidRPr="00F40195">
              <w:t xml:space="preserve">. </w:t>
            </w:r>
            <w:r w:rsidRPr="00F40195">
              <w:t>The advantage of using all four factors in estimating the number of custodians needed is it will accommodate growth or decline in enrollment and continue to provide the school with adequate coverage for custodial services over time</w:t>
            </w:r>
            <w:r w:rsidR="009739FE" w:rsidRPr="00F40195">
              <w:t xml:space="preserve">. </w:t>
            </w:r>
          </w:p>
          <w:p w:rsidR="0022221E" w:rsidRPr="00F40195" w:rsidRDefault="0022221E" w:rsidP="00F40195"/>
          <w:p w:rsidR="006B6B73" w:rsidRPr="00F40195" w:rsidRDefault="00CF351A" w:rsidP="00F40195">
            <w:r w:rsidRPr="00F40195">
              <w:t>The table below illustrates</w:t>
            </w:r>
            <w:r w:rsidR="006B6B73" w:rsidRPr="00F40195">
              <w:t xml:space="preserve"> custodial computations </w:t>
            </w:r>
            <w:r w:rsidR="000004DA" w:rsidRPr="00F40195">
              <w:t>for a</w:t>
            </w:r>
            <w:r w:rsidR="006B6B73" w:rsidRPr="00F40195">
              <w:t xml:space="preserve"> prototypical school district</w:t>
            </w:r>
            <w:r w:rsidR="000004DA" w:rsidRPr="00F40195">
              <w:t xml:space="preserve"> with four 450-student prototypical elementary schools, two 450-student middle schools, and two 600-student high schools</w:t>
            </w:r>
            <w:r w:rsidR="009739FE" w:rsidRPr="00F40195">
              <w:t xml:space="preserve">. </w:t>
            </w:r>
            <w:r w:rsidR="006B6B73" w:rsidRPr="00F40195">
              <w:t>Column 2 displays the enrollment of each school</w:t>
            </w:r>
            <w:r w:rsidR="009739FE" w:rsidRPr="00F40195">
              <w:t xml:space="preserve">. </w:t>
            </w:r>
            <w:r w:rsidR="006B6B73" w:rsidRPr="00F40195">
              <w:t>Column 3 indicates the number of classrooms that enrollment generates at the pupil teacher ratios described above</w:t>
            </w:r>
            <w:r w:rsidR="009739FE" w:rsidRPr="00F40195">
              <w:t xml:space="preserve">. </w:t>
            </w:r>
            <w:r w:rsidR="006B6B73" w:rsidRPr="00F40195">
              <w:t>This figure includes classrooms for special education programs as well as the regular program</w:t>
            </w:r>
            <w:r w:rsidR="009739FE" w:rsidRPr="00F40195">
              <w:t xml:space="preserve">. </w:t>
            </w:r>
            <w:r w:rsidR="006B6B73" w:rsidRPr="00F40195">
              <w:t>Column 4 provides the number of teachers at each school</w:t>
            </w:r>
            <w:r w:rsidR="009739FE" w:rsidRPr="00F40195">
              <w:t xml:space="preserve">. </w:t>
            </w:r>
            <w:r w:rsidR="006B6B73" w:rsidRPr="00F40195">
              <w:t>The fifth column uses current Arkansas facility standards to estimate the gross square footage of the prototypical schools in our prototype district.</w:t>
            </w:r>
            <w:r w:rsidR="006B6B73" w:rsidRPr="00F40195">
              <w:rPr>
                <w:rStyle w:val="FootnoteReference"/>
              </w:rPr>
              <w:footnoteReference w:id="4"/>
            </w:r>
            <w:r w:rsidR="006B6B73" w:rsidRPr="00F40195">
              <w:t xml:space="preserve">  The number of custodians in each school is computed using the formulas above and displayed in Column 6</w:t>
            </w:r>
            <w:r w:rsidR="009739FE" w:rsidRPr="00F40195">
              <w:t xml:space="preserve">. </w:t>
            </w:r>
            <w:r w:rsidR="000004DA" w:rsidRPr="00F40195">
              <w:t>A</w:t>
            </w:r>
            <w:r w:rsidR="006B6B73" w:rsidRPr="00F40195">
              <w:t xml:space="preserve"> half time custodian</w:t>
            </w:r>
            <w:r w:rsidR="000004DA" w:rsidRPr="00F40195">
              <w:t xml:space="preserve"> is added</w:t>
            </w:r>
            <w:r w:rsidR="006B6B73" w:rsidRPr="00F40195">
              <w:t xml:space="preserve"> for the high school to accommodate the higher number of after school and evening activities that typically occur at high schools</w:t>
            </w:r>
            <w:r w:rsidR="009739FE" w:rsidRPr="00F40195">
              <w:t xml:space="preserve">. </w:t>
            </w:r>
            <w:r w:rsidR="006B6B73" w:rsidRPr="00F40195">
              <w:t>For this prototypical school district, total custodians would amount to 23 including a half time custodian at the district office.</w:t>
            </w:r>
          </w:p>
          <w:p w:rsidR="006B6B73" w:rsidRPr="00F40195" w:rsidRDefault="006B6B73" w:rsidP="00F40195"/>
          <w:p w:rsidR="006B6B73" w:rsidRPr="00F40195" w:rsidRDefault="006B6B73" w:rsidP="00F40195">
            <w:pPr>
              <w:rPr>
                <w:b/>
              </w:rPr>
            </w:pPr>
            <w:r w:rsidRPr="00F40195">
              <w:rPr>
                <w:b/>
              </w:rPr>
              <w:t>Prototypical District Custodial Computations</w:t>
            </w:r>
          </w:p>
          <w:p w:rsidR="006B6B73" w:rsidRPr="00F40195" w:rsidRDefault="006B6B73" w:rsidP="00F40195">
            <w:pPr>
              <w:rPr>
                <w:rFonts w:eastAsiaTheme="minorHAnsi"/>
                <w:i/>
                <w:iCs/>
                <w:color w:val="243F60" w:themeColor="accent1" w:themeShade="7F"/>
                <w:szCs w:val="22"/>
              </w:rPr>
            </w:pPr>
            <w:r w:rsidRPr="00F40195">
              <w:rPr>
                <w:noProof/>
              </w:rPr>
              <w:drawing>
                <wp:inline distT="0" distB="0" distL="0" distR="0">
                  <wp:extent cx="5057335" cy="2073327"/>
                  <wp:effectExtent l="0" t="0" r="0" b="317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57613" cy="2073441"/>
                          </a:xfrm>
                          <a:prstGeom prst="rect">
                            <a:avLst/>
                          </a:prstGeom>
                          <a:noFill/>
                          <a:ln>
                            <a:noFill/>
                          </a:ln>
                        </pic:spPr>
                      </pic:pic>
                    </a:graphicData>
                  </a:graphic>
                </wp:inline>
              </w:drawing>
            </w:r>
          </w:p>
          <w:p w:rsidR="006B6B73" w:rsidRPr="00F40195" w:rsidRDefault="006B6B73" w:rsidP="00F40195"/>
          <w:p w:rsidR="006B6B73" w:rsidRPr="00F40195" w:rsidRDefault="006B6B73" w:rsidP="00F40195">
            <w:r w:rsidRPr="00F40195">
              <w:t>*Includes half time custodian at the district office</w:t>
            </w:r>
          </w:p>
          <w:p w:rsidR="006B6B73" w:rsidRPr="00F40195" w:rsidRDefault="006B6B73" w:rsidP="00F40195"/>
          <w:p w:rsidR="006B6B73" w:rsidRPr="00F40195" w:rsidRDefault="006B6B73" w:rsidP="00F40195">
            <w:r w:rsidRPr="00F40195">
              <w:rPr>
                <w:u w:val="single"/>
              </w:rPr>
              <w:t>Maintenance Workers</w:t>
            </w:r>
            <w:r w:rsidRPr="00F40195">
              <w:t>:  Maintenance workers function at the district level, rather than at individual schools</w:t>
            </w:r>
            <w:r w:rsidR="009739FE" w:rsidRPr="00F40195">
              <w:t xml:space="preserve">. </w:t>
            </w:r>
            <w:r w:rsidRPr="00F40195">
              <w:t>Core tasks provided by maintenance workers include preventative maintenance, routine maintenance and emergency response activities</w:t>
            </w:r>
            <w:r w:rsidR="009739FE" w:rsidRPr="00F40195">
              <w:t xml:space="preserve">. </w:t>
            </w:r>
            <w:r w:rsidRPr="00F40195">
              <w:t xml:space="preserve">Individual maintenance worker accomplishment associated with core tasks are: (a) HVAC systems, HVAC equipment, </w:t>
            </w:r>
            <w:r w:rsidRPr="00F40195">
              <w:lastRenderedPageBreak/>
              <w:t>and kitchen equipment; (b) Electrical systems, electrical equipment; (c) Plumbing systems, plumbing equipment; and, (d) Structural work, carpentry and general maintenance/repairs of buildings and equipment (Zureich, 1998).</w:t>
            </w:r>
          </w:p>
          <w:p w:rsidR="0022221E" w:rsidRPr="00F40195" w:rsidRDefault="0022221E" w:rsidP="00F40195"/>
          <w:p w:rsidR="006B6B73" w:rsidRPr="00F40195" w:rsidRDefault="006B6B73" w:rsidP="00F40195">
            <w:r w:rsidRPr="00F40195">
              <w:t>Zureich (1998) recommends a formula for maintenance worker FTEs incorporated into the funding model for instructional facilities as follows:</w:t>
            </w:r>
          </w:p>
          <w:p w:rsidR="0022221E" w:rsidRPr="00F40195" w:rsidRDefault="0022221E" w:rsidP="00F40195">
            <w:pPr>
              <w:ind w:right="1170"/>
              <w:rPr>
                <w:rFonts w:eastAsiaTheme="minorHAnsi"/>
                <w:b/>
                <w:bCs/>
                <w:i/>
                <w:color w:val="365F91" w:themeColor="accent1" w:themeShade="BF"/>
                <w:szCs w:val="22"/>
                <w:lang w:eastAsia="ja-JP"/>
              </w:rPr>
            </w:pPr>
          </w:p>
          <w:p w:rsidR="006B6B73" w:rsidRPr="00F40195" w:rsidRDefault="006B6B73" w:rsidP="00F40195">
            <w:pPr>
              <w:keepLines/>
              <w:ind w:left="547" w:right="1166"/>
              <w:jc w:val="center"/>
              <w:rPr>
                <w:rFonts w:eastAsiaTheme="minorHAnsi"/>
                <w:b/>
                <w:bCs/>
                <w:i/>
                <w:szCs w:val="22"/>
              </w:rPr>
            </w:pPr>
            <w:r w:rsidRPr="00F40195">
              <w:rPr>
                <w:i/>
              </w:rPr>
              <w:t xml:space="preserve">[(# of Buildings in District) x 1.1 + (GSF/60,000 SqFt) x </w:t>
            </w:r>
          </w:p>
          <w:p w:rsidR="006B6B73" w:rsidRPr="00F40195" w:rsidRDefault="006B6B73" w:rsidP="00F40195">
            <w:pPr>
              <w:keepLines/>
              <w:ind w:left="547" w:right="1166"/>
              <w:jc w:val="center"/>
              <w:rPr>
                <w:rFonts w:eastAsiaTheme="minorHAnsi"/>
                <w:b/>
                <w:bCs/>
                <w:i/>
                <w:szCs w:val="22"/>
              </w:rPr>
            </w:pPr>
            <w:r w:rsidRPr="00F40195">
              <w:rPr>
                <w:i/>
              </w:rPr>
              <w:t xml:space="preserve">1.2 + (ADM/1,000) x 1.3 </w:t>
            </w:r>
          </w:p>
          <w:p w:rsidR="006B6B73" w:rsidRPr="00F40195" w:rsidRDefault="006B6B73" w:rsidP="00F40195">
            <w:pPr>
              <w:keepLines/>
              <w:ind w:left="547" w:right="1166"/>
              <w:jc w:val="center"/>
              <w:rPr>
                <w:rFonts w:eastAsiaTheme="minorHAnsi"/>
                <w:b/>
                <w:bCs/>
                <w:i/>
                <w:szCs w:val="22"/>
              </w:rPr>
            </w:pPr>
            <w:r w:rsidRPr="00F40195">
              <w:rPr>
                <w:i/>
              </w:rPr>
              <w:t xml:space="preserve">+ General Fund Revenue/5,000,000) x 1.2] / 4 </w:t>
            </w:r>
          </w:p>
          <w:p w:rsidR="006B6B73" w:rsidRPr="00F40195" w:rsidRDefault="006B6B73" w:rsidP="00F40195">
            <w:pPr>
              <w:keepLines/>
              <w:ind w:left="547" w:right="1166"/>
              <w:jc w:val="center"/>
              <w:rPr>
                <w:rFonts w:eastAsiaTheme="minorHAnsi"/>
                <w:b/>
                <w:bCs/>
                <w:i/>
                <w:szCs w:val="22"/>
              </w:rPr>
            </w:pPr>
            <w:r w:rsidRPr="00F40195">
              <w:rPr>
                <w:i/>
              </w:rPr>
              <w:t>= Total number of Maintenance Workers needed.</w:t>
            </w:r>
          </w:p>
          <w:p w:rsidR="006B6B73" w:rsidRPr="00F40195" w:rsidRDefault="006B6B73" w:rsidP="00F40195"/>
          <w:p w:rsidR="00CF7C2F" w:rsidRPr="00F40195" w:rsidRDefault="0071111B" w:rsidP="00F40195">
            <w:r w:rsidRPr="00F40195">
              <w:t>Using</w:t>
            </w:r>
            <w:r w:rsidR="006B6B73" w:rsidRPr="00F40195">
              <w:t xml:space="preserve"> $10,000 per pupil in revenues to </w:t>
            </w:r>
            <w:r w:rsidR="006B6B73" w:rsidRPr="00F40195">
              <w:rPr>
                <w:i/>
              </w:rPr>
              <w:t>estimate</w:t>
            </w:r>
            <w:r w:rsidR="006B6B73" w:rsidRPr="00F40195">
              <w:t xml:space="preserve"> the number of maintenance workers in the prototypical district</w:t>
            </w:r>
            <w:r w:rsidR="009739FE" w:rsidRPr="00F40195">
              <w:t xml:space="preserve">. </w:t>
            </w:r>
            <w:r w:rsidR="006B6B73" w:rsidRPr="00F40195">
              <w:t xml:space="preserve">Applying this formula to the prototypical district described for custodians results in just </w:t>
            </w:r>
            <w:r w:rsidR="00A60360" w:rsidRPr="00F40195">
              <w:t xml:space="preserve">over </w:t>
            </w:r>
            <w:r w:rsidR="006B6B73" w:rsidRPr="00F40195">
              <w:t xml:space="preserve">nine maintenance workers for </w:t>
            </w:r>
            <w:r w:rsidRPr="00F40195">
              <w:t xml:space="preserve">a </w:t>
            </w:r>
            <w:r w:rsidR="006B6B73" w:rsidRPr="00F40195">
              <w:t>prototype district</w:t>
            </w:r>
            <w:r w:rsidR="009739FE" w:rsidRPr="00F40195">
              <w:t xml:space="preserve">. </w:t>
            </w:r>
          </w:p>
          <w:p w:rsidR="00CF7C2F" w:rsidRPr="00F40195" w:rsidRDefault="00CF7C2F" w:rsidP="00F40195"/>
          <w:p w:rsidR="006B6B73" w:rsidRPr="00F40195" w:rsidRDefault="00CE2088" w:rsidP="00F40195">
            <w:pPr>
              <w:rPr>
                <w:rFonts w:eastAsiaTheme="minorHAnsi"/>
                <w:szCs w:val="22"/>
              </w:rPr>
            </w:pPr>
            <w:r w:rsidRPr="00F40195">
              <w:rPr>
                <w:b/>
              </w:rPr>
              <w:t>Maintenance Workers in Prototypical School District</w:t>
            </w:r>
            <w:r w:rsidR="00CF7C2F" w:rsidRPr="00F40195">
              <w:rPr>
                <w:noProof/>
              </w:rPr>
              <w:drawing>
                <wp:inline distT="0" distB="0" distL="0" distR="0">
                  <wp:extent cx="3869055" cy="1397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69055" cy="1397000"/>
                          </a:xfrm>
                          <a:prstGeom prst="rect">
                            <a:avLst/>
                          </a:prstGeom>
                          <a:noFill/>
                          <a:ln>
                            <a:noFill/>
                          </a:ln>
                        </pic:spPr>
                      </pic:pic>
                    </a:graphicData>
                  </a:graphic>
                </wp:inline>
              </w:drawing>
            </w:r>
          </w:p>
          <w:p w:rsidR="006B6B73" w:rsidRPr="00F40195" w:rsidRDefault="006B6B73" w:rsidP="00F40195"/>
          <w:p w:rsidR="006B6B73" w:rsidRPr="00F40195" w:rsidRDefault="006B6B73" w:rsidP="00F40195">
            <w:r w:rsidRPr="00F40195">
              <w:t>Maintenance and Custodial supplies are estimated at $0.70 per gross square foot. The school gross square feet are 591,142 plus an estimated 10 percent more for the central office, bringing total district gross square footage to 650,256 and the cost of materials and supplies to $447,414 or $116.88 per pupil.</w:t>
            </w:r>
          </w:p>
          <w:p w:rsidR="006B6B73" w:rsidRPr="00F40195" w:rsidRDefault="006B6B73" w:rsidP="00F40195"/>
          <w:p w:rsidR="0088358A" w:rsidRDefault="006B6B73" w:rsidP="003D442F">
            <w:pPr>
              <w:pStyle w:val="BodyText"/>
            </w:pPr>
            <w:r w:rsidRPr="00F40195">
              <w:rPr>
                <w:u w:val="single"/>
              </w:rPr>
              <w:t>Grounds Maintenance:</w:t>
            </w:r>
            <w:r w:rsidRPr="00F40195">
              <w:rPr>
                <w:i/>
              </w:rPr>
              <w:t xml:space="preserve">  </w:t>
            </w:r>
            <w:r w:rsidRPr="00F40195">
              <w:t>The typical goals of a school grounds maintenance program are generally to provide safe, attractive, and economical grounds maintenance (Mutter &amp; Randolph, 1987)</w:t>
            </w:r>
            <w:r w:rsidR="009739FE" w:rsidRPr="00F40195">
              <w:t xml:space="preserve">. </w:t>
            </w:r>
            <w:r w:rsidRPr="00F40195">
              <w:t>This, too, is a district level function</w:t>
            </w:r>
            <w:r w:rsidR="009739FE" w:rsidRPr="00F40195">
              <w:t xml:space="preserve">. </w:t>
            </w:r>
            <w:r w:rsidR="0041692D" w:rsidRPr="00F40195">
              <w:t>An</w:t>
            </w:r>
            <w:r w:rsidRPr="00F40195">
              <w:t xml:space="preserve"> example of a work crew’s responsibility at various school levels in acres and days per year is </w:t>
            </w:r>
            <w:r w:rsidR="00172ED4" w:rsidRPr="00F40195">
              <w:t>below</w:t>
            </w:r>
            <w:r w:rsidRPr="00F40195">
              <w:t>, which uses the prototypical</w:t>
            </w:r>
            <w:r w:rsidR="003D442F">
              <w:t xml:space="preserve"> school district as an example.</w:t>
            </w:r>
          </w:p>
          <w:p w:rsidR="003D442F" w:rsidRDefault="003D442F" w:rsidP="003D442F">
            <w:pPr>
              <w:pStyle w:val="BodyText"/>
            </w:pPr>
          </w:p>
          <w:p w:rsidR="003D442F" w:rsidRDefault="003D442F" w:rsidP="003D442F">
            <w:pPr>
              <w:pStyle w:val="BodyText"/>
            </w:pPr>
          </w:p>
          <w:p w:rsidR="003D442F" w:rsidRDefault="003D442F" w:rsidP="003D442F">
            <w:pPr>
              <w:pStyle w:val="BodyText"/>
            </w:pPr>
          </w:p>
          <w:p w:rsidR="003D442F" w:rsidRDefault="003D442F" w:rsidP="003D442F">
            <w:pPr>
              <w:pStyle w:val="BodyText"/>
            </w:pPr>
          </w:p>
          <w:p w:rsidR="003D442F" w:rsidRPr="003D442F" w:rsidRDefault="003D442F" w:rsidP="003D442F">
            <w:pPr>
              <w:pStyle w:val="BodyText"/>
            </w:pPr>
          </w:p>
          <w:p w:rsidR="006B6B73" w:rsidRPr="00F40195" w:rsidRDefault="004E08CF" w:rsidP="00F40195">
            <w:r w:rsidRPr="00F40195">
              <w:rPr>
                <w:b/>
              </w:rPr>
              <w:lastRenderedPageBreak/>
              <w:t>Groundskeeper</w:t>
            </w:r>
            <w:r w:rsidR="00A60360" w:rsidRPr="00F40195">
              <w:rPr>
                <w:b/>
              </w:rPr>
              <w:t xml:space="preserve"> Example</w:t>
            </w:r>
          </w:p>
          <w:p w:rsidR="006B6B73" w:rsidRPr="00F40195" w:rsidRDefault="006B6B73" w:rsidP="00F40195">
            <w:pPr>
              <w:pStyle w:val="BodyText"/>
            </w:pPr>
            <w:r w:rsidRPr="00F40195">
              <w:rPr>
                <w:noProof/>
              </w:rPr>
              <w:drawing>
                <wp:inline distT="0" distB="0" distL="0" distR="0">
                  <wp:extent cx="5795645" cy="139954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5645" cy="1399540"/>
                          </a:xfrm>
                          <a:prstGeom prst="rect">
                            <a:avLst/>
                          </a:prstGeom>
                          <a:noFill/>
                          <a:ln>
                            <a:noFill/>
                          </a:ln>
                        </pic:spPr>
                      </pic:pic>
                    </a:graphicData>
                  </a:graphic>
                </wp:inline>
              </w:drawing>
            </w:r>
          </w:p>
          <w:p w:rsidR="00A60360" w:rsidRPr="00F40195" w:rsidRDefault="006B6B73" w:rsidP="00F40195">
            <w:pPr>
              <w:rPr>
                <w:szCs w:val="24"/>
              </w:rPr>
            </w:pPr>
            <w:r w:rsidRPr="00F40195">
              <w:rPr>
                <w:szCs w:val="24"/>
              </w:rPr>
              <w:t>These factors can be used for the prototypical school district to estimate the total number of Grounds staff needed grounds keeping as follows:</w:t>
            </w:r>
          </w:p>
          <w:p w:rsidR="006B6B73" w:rsidRPr="00F40195" w:rsidRDefault="006B6B73" w:rsidP="00F40195">
            <w:pPr>
              <w:rPr>
                <w:szCs w:val="24"/>
              </w:rPr>
            </w:pPr>
          </w:p>
          <w:p w:rsidR="006B6B73" w:rsidRPr="00F40195" w:rsidRDefault="004E08CF" w:rsidP="00F40195">
            <w:pPr>
              <w:rPr>
                <w:szCs w:val="24"/>
              </w:rPr>
            </w:pPr>
            <w:r w:rsidRPr="00F40195">
              <w:rPr>
                <w:b/>
              </w:rPr>
              <w:t>Groundskeepers in Prototypical School District</w:t>
            </w:r>
          </w:p>
          <w:p w:rsidR="006B6B73" w:rsidRPr="00F40195" w:rsidRDefault="006B6B73" w:rsidP="00F40195">
            <w:pPr>
              <w:rPr>
                <w:rFonts w:eastAsiaTheme="minorHAnsi"/>
                <w:i/>
                <w:iCs/>
                <w:color w:val="243F60" w:themeColor="accent1" w:themeShade="7F"/>
                <w:szCs w:val="24"/>
              </w:rPr>
            </w:pPr>
            <w:r w:rsidRPr="00F40195">
              <w:rPr>
                <w:noProof/>
                <w:szCs w:val="24"/>
              </w:rPr>
              <w:drawing>
                <wp:inline distT="0" distB="0" distL="0" distR="0">
                  <wp:extent cx="3531235" cy="2384425"/>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31235" cy="2384425"/>
                          </a:xfrm>
                          <a:prstGeom prst="rect">
                            <a:avLst/>
                          </a:prstGeom>
                          <a:noFill/>
                          <a:ln>
                            <a:noFill/>
                          </a:ln>
                        </pic:spPr>
                      </pic:pic>
                    </a:graphicData>
                  </a:graphic>
                </wp:inline>
              </w:drawing>
            </w:r>
          </w:p>
          <w:p w:rsidR="006B6B73" w:rsidRPr="00F40195" w:rsidRDefault="006B6B73" w:rsidP="00F40195">
            <w:pPr>
              <w:rPr>
                <w:szCs w:val="24"/>
              </w:rPr>
            </w:pPr>
          </w:p>
          <w:p w:rsidR="004E08CF" w:rsidRPr="00F40195" w:rsidRDefault="004E08CF" w:rsidP="00F40195">
            <w:pPr>
              <w:jc w:val="both"/>
              <w:rPr>
                <w:rFonts w:eastAsiaTheme="minorHAnsi"/>
                <w:b/>
                <w:bCs/>
                <w:color w:val="365F91" w:themeColor="accent1" w:themeShade="BF"/>
                <w:szCs w:val="24"/>
                <w:lang w:eastAsia="ja-JP"/>
              </w:rPr>
            </w:pPr>
          </w:p>
          <w:p w:rsidR="004E08CF" w:rsidRPr="00F40195" w:rsidRDefault="004E08CF" w:rsidP="00F40195">
            <w:pPr>
              <w:rPr>
                <w:rFonts w:eastAsiaTheme="minorHAnsi"/>
                <w:b/>
                <w:bCs/>
                <w:color w:val="365F91" w:themeColor="accent1" w:themeShade="BF"/>
                <w:szCs w:val="24"/>
                <w:lang w:eastAsia="ja-JP"/>
              </w:rPr>
            </w:pPr>
            <w:r w:rsidRPr="00F40195">
              <w:rPr>
                <w:b/>
                <w:szCs w:val="24"/>
              </w:rPr>
              <w:t>Total Maintenance and Operations FTE in Prototypical School District</w:t>
            </w:r>
          </w:p>
          <w:p w:rsidR="006B6B73" w:rsidRPr="00F40195" w:rsidRDefault="004E08CF" w:rsidP="00F40195">
            <w:pPr>
              <w:rPr>
                <w:rFonts w:eastAsiaTheme="minorHAnsi"/>
                <w:b/>
                <w:bCs/>
                <w:color w:val="365F91" w:themeColor="accent1" w:themeShade="BF"/>
                <w:szCs w:val="24"/>
                <w:lang w:eastAsia="ja-JP"/>
              </w:rPr>
            </w:pPr>
            <w:r w:rsidRPr="00F40195">
              <w:rPr>
                <w:noProof/>
                <w:szCs w:val="24"/>
              </w:rPr>
              <w:drawing>
                <wp:inline distT="0" distB="0" distL="0" distR="0">
                  <wp:extent cx="1684655" cy="1007745"/>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4655" cy="1007745"/>
                          </a:xfrm>
                          <a:prstGeom prst="rect">
                            <a:avLst/>
                          </a:prstGeom>
                          <a:noFill/>
                          <a:ln>
                            <a:noFill/>
                          </a:ln>
                        </pic:spPr>
                      </pic:pic>
                    </a:graphicData>
                  </a:graphic>
                </wp:inline>
              </w:drawing>
            </w:r>
          </w:p>
          <w:p w:rsidR="004E08CF" w:rsidRPr="00F40195" w:rsidRDefault="004E08CF" w:rsidP="00F40195">
            <w:pPr>
              <w:rPr>
                <w:szCs w:val="24"/>
              </w:rPr>
            </w:pPr>
          </w:p>
          <w:p w:rsidR="006B6B73" w:rsidRPr="00F40195" w:rsidRDefault="004E08CF" w:rsidP="00F40195">
            <w:pPr>
              <w:rPr>
                <w:szCs w:val="24"/>
              </w:rPr>
            </w:pPr>
            <w:r w:rsidRPr="00F40195">
              <w:rPr>
                <w:szCs w:val="24"/>
              </w:rPr>
              <w:t>T</w:t>
            </w:r>
            <w:r w:rsidR="006B6B73" w:rsidRPr="00F40195">
              <w:rPr>
                <w:szCs w:val="24"/>
              </w:rPr>
              <w:t>o estimate the district’s expenditures for maintenance and operations, the number of positions in each category would be multiplied by the average total compensation for each position and added to the $447,415 for materials and supplies</w:t>
            </w:r>
            <w:r w:rsidR="009739FE" w:rsidRPr="00F40195">
              <w:rPr>
                <w:szCs w:val="24"/>
              </w:rPr>
              <w:t xml:space="preserve">. </w:t>
            </w:r>
            <w:r w:rsidR="006B6B73" w:rsidRPr="00F40195">
              <w:rPr>
                <w:szCs w:val="24"/>
              </w:rPr>
              <w:t>This figure is easily computed on a per-pupil basis by dividing by district enrollment</w:t>
            </w:r>
            <w:r w:rsidR="009739FE" w:rsidRPr="00F40195">
              <w:rPr>
                <w:szCs w:val="24"/>
              </w:rPr>
              <w:t xml:space="preserve">. </w:t>
            </w:r>
          </w:p>
          <w:p w:rsidR="00217998" w:rsidRPr="00F40195" w:rsidRDefault="00217998" w:rsidP="00F40195">
            <w:pPr>
              <w:rPr>
                <w:szCs w:val="24"/>
              </w:rPr>
            </w:pPr>
          </w:p>
          <w:p w:rsidR="006B6B73" w:rsidRPr="00F40195" w:rsidRDefault="00A60360" w:rsidP="00F40195">
            <w:pPr>
              <w:rPr>
                <w:szCs w:val="24"/>
              </w:rPr>
            </w:pPr>
            <w:r w:rsidRPr="00F40195">
              <w:rPr>
                <w:szCs w:val="24"/>
              </w:rPr>
              <w:t>It</w:t>
            </w:r>
            <w:r w:rsidR="006B6B73" w:rsidRPr="00F40195">
              <w:rPr>
                <w:szCs w:val="24"/>
              </w:rPr>
              <w:t xml:space="preserve"> is necessary to add the per pupil costs of utilities and insurance</w:t>
            </w:r>
            <w:r w:rsidRPr="00F40195">
              <w:rPr>
                <w:szCs w:val="24"/>
              </w:rPr>
              <w:t xml:space="preserve"> to these totals</w:t>
            </w:r>
            <w:r w:rsidR="009739FE" w:rsidRPr="00F40195">
              <w:rPr>
                <w:szCs w:val="24"/>
              </w:rPr>
              <w:t xml:space="preserve">. </w:t>
            </w:r>
            <w:r w:rsidR="006B6B73" w:rsidRPr="00F40195">
              <w:rPr>
                <w:szCs w:val="24"/>
              </w:rPr>
              <w:t xml:space="preserve">It is unlikely that a district has much control over these costs in the short run and thus each district can best </w:t>
            </w:r>
            <w:r w:rsidR="006B6B73" w:rsidRPr="00F40195">
              <w:rPr>
                <w:szCs w:val="24"/>
              </w:rPr>
              <w:lastRenderedPageBreak/>
              <w:t>estimate future costs using their current expenditures for utilities and insurance as a base.</w:t>
            </w:r>
          </w:p>
          <w:p w:rsidR="00217998" w:rsidRPr="00F40195" w:rsidRDefault="00217998" w:rsidP="00F40195">
            <w:pPr>
              <w:rPr>
                <w:szCs w:val="24"/>
              </w:rPr>
            </w:pPr>
          </w:p>
          <w:p w:rsidR="00C311B7" w:rsidRPr="00F40195" w:rsidRDefault="006B6B73" w:rsidP="00F40195">
            <w:pPr>
              <w:rPr>
                <w:b/>
              </w:rPr>
            </w:pPr>
            <w:r w:rsidRPr="00F40195">
              <w:rPr>
                <w:szCs w:val="24"/>
              </w:rPr>
              <w:t>APPA, a professional association dedicated to educational facilities management offers staffing ratios that can be used to estimate resource needs for schools districts</w:t>
            </w:r>
            <w:r w:rsidR="009739FE" w:rsidRPr="00F40195">
              <w:rPr>
                <w:szCs w:val="24"/>
              </w:rPr>
              <w:t xml:space="preserve">. </w:t>
            </w:r>
            <w:r w:rsidRPr="00F40195">
              <w:rPr>
                <w:szCs w:val="24"/>
              </w:rPr>
              <w:t>APPA has staffing standards for maintenance workers, custodians, and groundskeepers; the same staff categories for which funding was estimated above</w:t>
            </w:r>
            <w:r w:rsidR="009739FE" w:rsidRPr="00F40195">
              <w:rPr>
                <w:szCs w:val="24"/>
              </w:rPr>
              <w:t xml:space="preserve">. </w:t>
            </w:r>
            <w:r w:rsidRPr="00F40195">
              <w:rPr>
                <w:szCs w:val="24"/>
              </w:rPr>
              <w:t>These staff resources are allocated according to different service care and stewardship levels</w:t>
            </w:r>
            <w:r w:rsidR="009739FE" w:rsidRPr="00F40195">
              <w:rPr>
                <w:szCs w:val="24"/>
              </w:rPr>
              <w:t xml:space="preserve">. </w:t>
            </w:r>
            <w:r w:rsidRPr="00F40195">
              <w:rPr>
                <w:szCs w:val="24"/>
              </w:rPr>
              <w:t>APPA’s web site and publications</w:t>
            </w:r>
            <w:r w:rsidR="00602928" w:rsidRPr="00F40195">
              <w:rPr>
                <w:szCs w:val="24"/>
              </w:rPr>
              <w:t xml:space="preserve"> (APPA, 1998, 2001, 2002)</w:t>
            </w:r>
            <w:r w:rsidRPr="00F40195">
              <w:rPr>
                <w:szCs w:val="24"/>
              </w:rPr>
              <w:t xml:space="preserve">, </w:t>
            </w:r>
            <w:r w:rsidR="00531EB6" w:rsidRPr="00F40195">
              <w:rPr>
                <w:szCs w:val="24"/>
              </w:rPr>
              <w:t>which are considered industry standards for educational facilities</w:t>
            </w:r>
            <w:r w:rsidR="007B12F7" w:rsidRPr="00F40195">
              <w:rPr>
                <w:szCs w:val="24"/>
              </w:rPr>
              <w:t xml:space="preserve">, </w:t>
            </w:r>
            <w:r w:rsidR="00531EB6" w:rsidRPr="00F40195">
              <w:rPr>
                <w:szCs w:val="24"/>
              </w:rPr>
              <w:t>offered a strong research basis for establishing an appropriate benchmark for estimating the cost basis for O&amp;M.</w:t>
            </w:r>
          </w:p>
        </w:tc>
      </w:tr>
    </w:tbl>
    <w:p w:rsidR="00BD07BE" w:rsidRPr="00F40195" w:rsidRDefault="00BD07BE" w:rsidP="007162A8">
      <w:pPr>
        <w:pStyle w:val="Heading2"/>
      </w:pPr>
      <w:bookmarkStart w:id="124" w:name="_Toc395180709"/>
      <w:r w:rsidRPr="00F40195">
        <w:lastRenderedPageBreak/>
        <w:t>F.</w:t>
      </w:r>
      <w:r w:rsidR="0034105B" w:rsidRPr="00F40195">
        <w:t>27</w:t>
      </w:r>
      <w:r w:rsidRPr="00F40195">
        <w:t xml:space="preserve"> Regional </w:t>
      </w:r>
      <w:r w:rsidR="003B6961" w:rsidRPr="00F40195">
        <w:t xml:space="preserve">Cost </w:t>
      </w:r>
      <w:r w:rsidRPr="00F40195">
        <w:t>Adjustment Factor</w:t>
      </w:r>
      <w:bookmarkEnd w:id="124"/>
    </w:p>
    <w:p w:rsidR="00BD07BE" w:rsidRPr="00F40195" w:rsidRDefault="00BD07BE" w:rsidP="00F40195">
      <w:pPr>
        <w:pStyle w:val="NoSpacing"/>
        <w:rPr>
          <w:rFonts w:ascii="Times New Roman" w:hAnsi="Times New Roman" w:cs="Times New Roman"/>
          <w:sz w:val="24"/>
          <w:szCs w:val="24"/>
        </w:rPr>
      </w:pPr>
      <w:r w:rsidRPr="00F40195">
        <w:rPr>
          <w:rFonts w:ascii="Times New Roman" w:hAnsi="Times New Roman" w:cs="Times New Roman"/>
          <w:sz w:val="24"/>
          <w:szCs w:val="24"/>
        </w:rPr>
        <w:t xml:space="preserve">A few states, including </w:t>
      </w:r>
      <w:r w:rsidR="002461C2" w:rsidRPr="00F40195">
        <w:rPr>
          <w:rFonts w:ascii="Times New Roman" w:hAnsi="Times New Roman" w:cs="Times New Roman"/>
          <w:sz w:val="24"/>
          <w:szCs w:val="24"/>
        </w:rPr>
        <w:t>Kentucky</w:t>
      </w:r>
      <w:r w:rsidRPr="00F40195">
        <w:rPr>
          <w:rFonts w:ascii="Times New Roman" w:hAnsi="Times New Roman" w:cs="Times New Roman"/>
          <w:sz w:val="24"/>
          <w:szCs w:val="24"/>
        </w:rPr>
        <w:t>, include a factor in the state aid formula that seeks to adjust the dollars provided to each district for differences in educational costs caused by regional differences in the purchasing price of the education dollar.</w:t>
      </w:r>
    </w:p>
    <w:p w:rsidR="00217998" w:rsidRPr="00F40195" w:rsidRDefault="00217998" w:rsidP="00F4019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311B7" w:rsidRPr="00F40195">
        <w:tc>
          <w:tcPr>
            <w:tcW w:w="4788" w:type="dxa"/>
            <w:shd w:val="clear" w:color="auto" w:fill="C6D9F1" w:themeFill="text2" w:themeFillTint="33"/>
          </w:tcPr>
          <w:p w:rsidR="00C311B7" w:rsidRPr="00F40195" w:rsidRDefault="00C311B7" w:rsidP="00F40195">
            <w:pPr>
              <w:jc w:val="center"/>
              <w:rPr>
                <w:b/>
              </w:rPr>
            </w:pPr>
            <w:r w:rsidRPr="00F40195">
              <w:rPr>
                <w:b/>
              </w:rPr>
              <w:t xml:space="preserve">Current </w:t>
            </w:r>
            <w:r w:rsidR="002461C2" w:rsidRPr="00F40195">
              <w:rPr>
                <w:b/>
              </w:rPr>
              <w:t>Kentucky</w:t>
            </w:r>
            <w:r w:rsidRPr="00F40195">
              <w:rPr>
                <w:b/>
              </w:rPr>
              <w:t xml:space="preserve"> Policy</w:t>
            </w:r>
          </w:p>
        </w:tc>
        <w:tc>
          <w:tcPr>
            <w:tcW w:w="4788" w:type="dxa"/>
            <w:shd w:val="clear" w:color="auto" w:fill="C6D9F1" w:themeFill="text2" w:themeFillTint="33"/>
          </w:tcPr>
          <w:p w:rsidR="00C311B7" w:rsidRPr="00F40195" w:rsidRDefault="00C311B7" w:rsidP="00F40195">
            <w:pPr>
              <w:jc w:val="center"/>
              <w:rPr>
                <w:b/>
              </w:rPr>
            </w:pPr>
            <w:r w:rsidRPr="00F40195">
              <w:rPr>
                <w:b/>
              </w:rPr>
              <w:t>Evidence-Based Model</w:t>
            </w:r>
          </w:p>
        </w:tc>
      </w:tr>
      <w:tr w:rsidR="00C311B7" w:rsidRPr="00F40195">
        <w:tc>
          <w:tcPr>
            <w:tcW w:w="4788" w:type="dxa"/>
          </w:tcPr>
          <w:p w:rsidR="00C311B7" w:rsidRPr="00F40195" w:rsidRDefault="006070E7" w:rsidP="00F40195">
            <w:pPr>
              <w:rPr>
                <w:b/>
              </w:rPr>
            </w:pPr>
            <w:r w:rsidRPr="00F40195">
              <w:rPr>
                <w:szCs w:val="24"/>
              </w:rPr>
              <w:t>There is no specific provision in the KY SEEK formula for this element</w:t>
            </w:r>
            <w:r w:rsidRPr="00F40195">
              <w:rPr>
                <w:b/>
              </w:rPr>
              <w:t xml:space="preserve"> </w:t>
            </w:r>
          </w:p>
        </w:tc>
        <w:tc>
          <w:tcPr>
            <w:tcW w:w="4788" w:type="dxa"/>
          </w:tcPr>
          <w:p w:rsidR="00C45675" w:rsidRPr="00F40195" w:rsidRDefault="00531EB6" w:rsidP="007162A8">
            <w:pPr>
              <w:rPr>
                <w:b/>
              </w:rPr>
            </w:pPr>
            <w:r w:rsidRPr="00F40195">
              <w:rPr>
                <w:szCs w:val="24"/>
              </w:rPr>
              <w:t>The EB approach suggest</w:t>
            </w:r>
            <w:r w:rsidR="004635F2" w:rsidRPr="00F40195">
              <w:rPr>
                <w:szCs w:val="24"/>
              </w:rPr>
              <w:t>s</w:t>
            </w:r>
            <w:r w:rsidRPr="00F40195">
              <w:rPr>
                <w:szCs w:val="24"/>
              </w:rPr>
              <w:t xml:space="preserve"> that </w:t>
            </w:r>
            <w:r w:rsidR="002461C2" w:rsidRPr="00F40195">
              <w:rPr>
                <w:szCs w:val="24"/>
              </w:rPr>
              <w:t>Kentucky</w:t>
            </w:r>
            <w:r w:rsidRPr="00F40195">
              <w:rPr>
                <w:szCs w:val="24"/>
              </w:rPr>
              <w:t xml:space="preserve"> </w:t>
            </w:r>
            <w:r w:rsidR="0041692D" w:rsidRPr="00F40195">
              <w:rPr>
                <w:szCs w:val="24"/>
              </w:rPr>
              <w:t xml:space="preserve">use a </w:t>
            </w:r>
            <w:r w:rsidRPr="00F40195">
              <w:rPr>
                <w:szCs w:val="24"/>
              </w:rPr>
              <w:t>Comparable Wage Index</w:t>
            </w:r>
            <w:r w:rsidR="0041692D" w:rsidRPr="00F40195">
              <w:rPr>
                <w:szCs w:val="24"/>
              </w:rPr>
              <w:t xml:space="preserve"> to adjust professional salary level</w:t>
            </w:r>
            <w:r w:rsidR="00311898" w:rsidRPr="00F40195">
              <w:rPr>
                <w:szCs w:val="24"/>
              </w:rPr>
              <w:t>s</w:t>
            </w:r>
            <w:r w:rsidR="0041692D" w:rsidRPr="00F40195">
              <w:rPr>
                <w:szCs w:val="24"/>
              </w:rPr>
              <w:t>.</w:t>
            </w:r>
          </w:p>
        </w:tc>
      </w:tr>
      <w:tr w:rsidR="00664B27" w:rsidRPr="00F40195">
        <w:tc>
          <w:tcPr>
            <w:tcW w:w="4788" w:type="dxa"/>
          </w:tcPr>
          <w:p w:rsidR="00664B27" w:rsidRPr="00F40195" w:rsidRDefault="00664B27" w:rsidP="00F40195">
            <w:pPr>
              <w:rPr>
                <w:szCs w:val="24"/>
              </w:rPr>
            </w:pPr>
            <w:r w:rsidRPr="00F40195">
              <w:rPr>
                <w:b/>
              </w:rPr>
              <w:t>Stakeholder Panel Recommendation</w:t>
            </w:r>
          </w:p>
        </w:tc>
        <w:tc>
          <w:tcPr>
            <w:tcW w:w="4788" w:type="dxa"/>
          </w:tcPr>
          <w:p w:rsidR="00664B27" w:rsidRPr="00F40195" w:rsidRDefault="00664B27" w:rsidP="00F40195">
            <w:pPr>
              <w:rPr>
                <w:szCs w:val="24"/>
              </w:rPr>
            </w:pPr>
            <w:r w:rsidRPr="00F40195">
              <w:rPr>
                <w:b/>
              </w:rPr>
              <w:t>Advisory Committee Recommendation</w:t>
            </w:r>
          </w:p>
        </w:tc>
      </w:tr>
      <w:tr w:rsidR="00664B27" w:rsidRPr="00F40195">
        <w:tc>
          <w:tcPr>
            <w:tcW w:w="4788" w:type="dxa"/>
          </w:tcPr>
          <w:p w:rsidR="00664B27" w:rsidRPr="00F40195" w:rsidRDefault="00F063C6" w:rsidP="00844962">
            <w:pPr>
              <w:pStyle w:val="Default"/>
            </w:pPr>
            <w:r w:rsidRPr="00F40195">
              <w:rPr>
                <w:rFonts w:eastAsiaTheme="minorHAnsi"/>
                <w:szCs w:val="22"/>
              </w:rPr>
              <w:t>Model both with and without the CWI to determine how districts with varying levels of resources will be affected different by each approach.</w:t>
            </w:r>
          </w:p>
        </w:tc>
        <w:tc>
          <w:tcPr>
            <w:tcW w:w="4788" w:type="dxa"/>
          </w:tcPr>
          <w:p w:rsidR="00664B27" w:rsidRPr="00F40195" w:rsidRDefault="00EE3D07" w:rsidP="00F40195">
            <w:pPr>
              <w:rPr>
                <w:szCs w:val="24"/>
              </w:rPr>
            </w:pPr>
            <w:r w:rsidRPr="00F40195">
              <w:t>Agreed that a regional cost index should be applied.</w:t>
            </w:r>
          </w:p>
        </w:tc>
      </w:tr>
      <w:tr w:rsidR="00C311B7" w:rsidRPr="00F40195">
        <w:tc>
          <w:tcPr>
            <w:tcW w:w="9576" w:type="dxa"/>
            <w:gridSpan w:val="2"/>
            <w:shd w:val="clear" w:color="auto" w:fill="C6D9F1" w:themeFill="text2" w:themeFillTint="33"/>
          </w:tcPr>
          <w:p w:rsidR="00C311B7" w:rsidRPr="00F40195" w:rsidRDefault="00C311B7" w:rsidP="00F40195">
            <w:pPr>
              <w:jc w:val="center"/>
              <w:rPr>
                <w:b/>
              </w:rPr>
            </w:pPr>
            <w:r w:rsidRPr="00F40195">
              <w:rPr>
                <w:b/>
              </w:rPr>
              <w:t>Analysis and Evidence</w:t>
            </w:r>
          </w:p>
        </w:tc>
      </w:tr>
      <w:tr w:rsidR="00C311B7" w:rsidRPr="00F40195">
        <w:tc>
          <w:tcPr>
            <w:tcW w:w="9576" w:type="dxa"/>
            <w:gridSpan w:val="2"/>
          </w:tcPr>
          <w:p w:rsidR="00531EB6" w:rsidRPr="00F40195" w:rsidRDefault="00531EB6" w:rsidP="00F40195">
            <w:pPr>
              <w:pStyle w:val="Style4"/>
              <w:widowControl/>
              <w:spacing w:line="240" w:lineRule="auto"/>
              <w:ind w:firstLine="0"/>
              <w:contextualSpacing/>
              <w:jc w:val="left"/>
              <w:rPr>
                <w:rStyle w:val="FontStyle131"/>
                <w:rFonts w:ascii="Times New Roman" w:hAnsi="Times New Roman" w:cs="Times New Roman"/>
              </w:rPr>
            </w:pPr>
            <w:r w:rsidRPr="00F40195">
              <w:rPr>
                <w:rStyle w:val="FontStyle131"/>
                <w:rFonts w:ascii="Times New Roman" w:hAnsi="Times New Roman" w:cs="Times New Roman"/>
                <w:sz w:val="24"/>
                <w:szCs w:val="24"/>
              </w:rPr>
              <w:t>Though several different approaches can be taken in constructing cost-of-education indices (Chambers, 1981), there is substantial correlation among price indices constructed with different methodologies (Chambers, 1981)</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Whatever methodology is used, price differences can vary substantially across districts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In earlier studies of California (Chambers</w:t>
            </w:r>
            <w:proofErr w:type="gramStart"/>
            <w:r w:rsidRPr="00F40195">
              <w:rPr>
                <w:rStyle w:val="FontStyle131"/>
                <w:rFonts w:ascii="Times New Roman" w:hAnsi="Times New Roman" w:cs="Times New Roman"/>
                <w:sz w:val="24"/>
                <w:szCs w:val="24"/>
              </w:rPr>
              <w:t>,1980</w:t>
            </w:r>
            <w:proofErr w:type="gramEnd"/>
            <w:r w:rsidRPr="00F40195">
              <w:rPr>
                <w:rStyle w:val="FontStyle131"/>
                <w:rFonts w:ascii="Times New Roman" w:hAnsi="Times New Roman" w:cs="Times New Roman"/>
                <w:sz w:val="24"/>
                <w:szCs w:val="24"/>
              </w:rPr>
              <w:t>), Missouri (Chambers, Odden, and Vincent, 1976), New York (Wendling, 1981b), and Texas (Monk and Walker, 1991), within-state price variations ranged from 20 percent (10 percent above and below the average) in California to 40 percent (20 percent above and below the average) in Texas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And price ranges remain about the same according to more recent studies of Wyoming and Texas (e.g., Baker, 2005; Taylor, 2004)</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These are substantial differences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These results mean that high-cost districts in California must pay 20 percent more for the same educational goods as low-cost districts; thus, with equal per-pupil revenues, high-cost districts are able to purchase only 75 percent of what low-cost districts can purchase</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The differences in Texas are even greater. Such price differences, caused by circumstances and conditions essentially outside the control of district decision makers, qualify as a target for adjustments in some state aid formulas.</w:t>
            </w:r>
          </w:p>
          <w:p w:rsidR="00531EB6" w:rsidRPr="00F40195" w:rsidRDefault="00531EB6" w:rsidP="00F40195">
            <w:pPr>
              <w:pStyle w:val="Style4"/>
              <w:widowControl/>
              <w:spacing w:line="240" w:lineRule="auto"/>
              <w:ind w:firstLine="0"/>
              <w:contextualSpacing/>
              <w:jc w:val="left"/>
              <w:rPr>
                <w:rStyle w:val="FontStyle131"/>
                <w:rFonts w:ascii="Times New Roman" w:hAnsi="Times New Roman" w:cs="Times New Roman"/>
              </w:rPr>
            </w:pPr>
          </w:p>
          <w:p w:rsidR="00531EB6" w:rsidRPr="00F40195" w:rsidRDefault="00531EB6" w:rsidP="00F40195">
            <w:pPr>
              <w:pStyle w:val="Style4"/>
              <w:widowControl/>
              <w:spacing w:line="240" w:lineRule="auto"/>
              <w:ind w:firstLine="0"/>
              <w:contextualSpacing/>
              <w:jc w:val="left"/>
              <w:rPr>
                <w:rStyle w:val="FontStyle131"/>
                <w:rFonts w:ascii="Times New Roman" w:hAnsi="Times New Roman" w:cs="Times New Roman"/>
              </w:rPr>
            </w:pPr>
            <w:r w:rsidRPr="00F40195">
              <w:rPr>
                <w:rStyle w:val="FontStyle131"/>
                <w:rFonts w:ascii="Times New Roman" w:hAnsi="Times New Roman" w:cs="Times New Roman"/>
                <w:sz w:val="24"/>
                <w:szCs w:val="24"/>
              </w:rPr>
              <w:t>In early 2001, Fowler and Monk (2001) created a primer on how to develop price indices in education, using largely the hedonic index approach</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Shortly after this primer was developed, however, a new approach to developing geographic adjustments for teacher salaries entered into school finance scholarly and policy debates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 xml:space="preserve">Rather than using the hedonic approach, which had </w:t>
            </w:r>
            <w:r w:rsidRPr="00F40195">
              <w:rPr>
                <w:rStyle w:val="FontStyle131"/>
                <w:rFonts w:ascii="Times New Roman" w:hAnsi="Times New Roman" w:cs="Times New Roman"/>
                <w:sz w:val="24"/>
                <w:szCs w:val="24"/>
              </w:rPr>
              <w:lastRenderedPageBreak/>
              <w:t>been used for the preceding 30 years, the new method takes a “comparable wage” approach</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Under this new approach, the adjustment for teachers is taken from salary variations in occupations other than teaching (for a recent study, see Taylor, 2010)</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Taylor and Fowler (2006) used all occupations requiring a bachelor’s degree or greater while Imazeki (2006) used salaries only for occupations that were similar to teaching</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Imazeki’s analysis showed, moreover, that the indices produced for all occupations were different from those produced only for occupations similar to teachers.</w:t>
            </w:r>
          </w:p>
          <w:p w:rsidR="00531EB6" w:rsidRPr="00F40195" w:rsidRDefault="00531EB6" w:rsidP="00F40195">
            <w:pPr>
              <w:pStyle w:val="Style4"/>
              <w:widowControl/>
              <w:spacing w:line="240" w:lineRule="auto"/>
              <w:ind w:firstLine="0"/>
              <w:contextualSpacing/>
              <w:jc w:val="left"/>
              <w:rPr>
                <w:rStyle w:val="FontStyle131"/>
                <w:rFonts w:ascii="Times New Roman" w:hAnsi="Times New Roman" w:cs="Times New Roman"/>
              </w:rPr>
            </w:pPr>
          </w:p>
          <w:p w:rsidR="00531EB6" w:rsidRPr="00F40195" w:rsidRDefault="00531EB6" w:rsidP="00F40195">
            <w:pPr>
              <w:pStyle w:val="Style4"/>
              <w:widowControl/>
              <w:spacing w:line="240" w:lineRule="auto"/>
              <w:ind w:firstLine="0"/>
              <w:contextualSpacing/>
              <w:jc w:val="left"/>
              <w:rPr>
                <w:rStyle w:val="FontStyle131"/>
                <w:rFonts w:ascii="Times New Roman" w:hAnsi="Times New Roman" w:cs="Times New Roman"/>
              </w:rPr>
            </w:pPr>
            <w:r w:rsidRPr="00F40195">
              <w:rPr>
                <w:rStyle w:val="FontStyle131"/>
                <w:rFonts w:ascii="Times New Roman" w:hAnsi="Times New Roman" w:cs="Times New Roman"/>
                <w:sz w:val="24"/>
                <w:szCs w:val="24"/>
              </w:rPr>
              <w:t>States can take two different approaches in using a price or cost-of-education index</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First, state aid can be multiplied by the price index, thus ensuring that equal amounts of state aid will purchase equal amounts of educational goods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But this approach leaves local revenues unadjusted by price indices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A better method is to multiply the major elements of a school aid formula by the price index to ensure that total education revenues can purchase the same level of resources. Thus, the price index is applied to the foundation expenditure level in a foundation program, the tax base guaranteed by the state in a GTB program, the state-determined spending level in a full-state-funding program, or total current operating expenditures for a percentage equalizing formula.</w:t>
            </w:r>
          </w:p>
          <w:p w:rsidR="00531EB6" w:rsidRPr="00F40195" w:rsidRDefault="00531EB6" w:rsidP="00F40195">
            <w:pPr>
              <w:pStyle w:val="Style4"/>
              <w:widowControl/>
              <w:spacing w:line="240" w:lineRule="auto"/>
              <w:ind w:right="19" w:firstLine="0"/>
              <w:contextualSpacing/>
              <w:jc w:val="left"/>
              <w:rPr>
                <w:rStyle w:val="FontStyle131"/>
                <w:rFonts w:ascii="Times New Roman" w:hAnsi="Times New Roman" w:cs="Times New Roman"/>
              </w:rPr>
            </w:pPr>
          </w:p>
          <w:p w:rsidR="00531EB6" w:rsidRPr="00F40195" w:rsidRDefault="00531EB6" w:rsidP="00F40195">
            <w:pPr>
              <w:pStyle w:val="Style4"/>
              <w:widowControl/>
              <w:spacing w:line="240" w:lineRule="auto"/>
              <w:ind w:right="19" w:firstLine="0"/>
              <w:contextualSpacing/>
              <w:jc w:val="left"/>
              <w:rPr>
                <w:rStyle w:val="FontStyle131"/>
                <w:rFonts w:ascii="Times New Roman" w:hAnsi="Times New Roman" w:cs="Times New Roman"/>
                <w:sz w:val="24"/>
                <w:szCs w:val="24"/>
              </w:rPr>
            </w:pPr>
            <w:r w:rsidRPr="00F40195">
              <w:rPr>
                <w:rStyle w:val="FontStyle131"/>
                <w:rFonts w:ascii="Times New Roman" w:hAnsi="Times New Roman" w:cs="Times New Roman"/>
                <w:sz w:val="24"/>
                <w:szCs w:val="24"/>
              </w:rPr>
              <w:t xml:space="preserve">As such, including a price index in a school finance formula is relatively simple. And NCES has recently produced comparative wage indices that can be used for all districts and all states, (Taylor and Fowler, 2006) with updated figures for </w:t>
            </w:r>
            <w:r w:rsidR="0041692D" w:rsidRPr="00F40195">
              <w:rPr>
                <w:rStyle w:val="FontStyle131"/>
                <w:rFonts w:ascii="Times New Roman" w:hAnsi="Times New Roman" w:cs="Times New Roman"/>
                <w:sz w:val="24"/>
                <w:szCs w:val="24"/>
              </w:rPr>
              <w:t xml:space="preserve">through 2011 (at </w:t>
            </w:r>
            <w:r w:rsidR="0041692D" w:rsidRPr="00F40195">
              <w:rPr>
                <w:rFonts w:ascii="Times New Roman" w:hAnsi="Times New Roman"/>
                <w:bCs/>
                <w:color w:val="555555"/>
              </w:rPr>
              <w:t>(</w:t>
            </w:r>
            <w:hyperlink r:id="rId41" w:tgtFrame="_blank" w:history="1">
              <w:r w:rsidR="0041692D" w:rsidRPr="00F40195">
                <w:rPr>
                  <w:rFonts w:ascii="Times New Roman" w:hAnsi="Times New Roman"/>
                  <w:bCs/>
                  <w:color w:val="0000FF"/>
                  <w:u w:val="single"/>
                </w:rPr>
                <w:t>http://bush.tamu.edu/research/faculty/taylor_CWI/</w:t>
              </w:r>
            </w:hyperlink>
            <w:r w:rsidR="0041692D" w:rsidRPr="00F40195">
              <w:rPr>
                <w:rFonts w:ascii="Times New Roman" w:hAnsi="Times New Roman"/>
                <w:bCs/>
                <w:color w:val="555555"/>
              </w:rPr>
              <w:t>).</w:t>
            </w:r>
          </w:p>
          <w:p w:rsidR="00531EB6" w:rsidRPr="00F40195" w:rsidRDefault="00531EB6" w:rsidP="00F40195">
            <w:pPr>
              <w:pStyle w:val="Style4"/>
              <w:widowControl/>
              <w:spacing w:line="240" w:lineRule="auto"/>
              <w:ind w:firstLine="0"/>
              <w:contextualSpacing/>
              <w:jc w:val="left"/>
              <w:rPr>
                <w:rStyle w:val="FontStyle131"/>
                <w:rFonts w:ascii="Times New Roman" w:hAnsi="Times New Roman" w:cs="Times New Roman"/>
              </w:rPr>
            </w:pPr>
          </w:p>
          <w:p w:rsidR="00C311B7" w:rsidRPr="00F40195" w:rsidRDefault="00531EB6" w:rsidP="00F40195">
            <w:pPr>
              <w:pStyle w:val="Style4"/>
              <w:widowControl/>
              <w:spacing w:line="240" w:lineRule="auto"/>
              <w:ind w:firstLine="0"/>
              <w:contextualSpacing/>
              <w:jc w:val="left"/>
              <w:rPr>
                <w:rFonts w:ascii="Times New Roman" w:hAnsi="Times New Roman"/>
                <w:color w:val="000000"/>
              </w:rPr>
            </w:pPr>
            <w:r w:rsidRPr="00F40195">
              <w:rPr>
                <w:rStyle w:val="FontStyle131"/>
                <w:rFonts w:ascii="Times New Roman" w:hAnsi="Times New Roman" w:cs="Times New Roman"/>
                <w:sz w:val="24"/>
                <w:szCs w:val="24"/>
              </w:rPr>
              <w:t>While the existence of the NCES price indices alleviates the need for analysis, price indices do alter the distribution of state aid</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In general, education price indices are higher in urban and metropolitan areas than in rural areas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Thus, with a given amount of state aid, use of a price index shifts the shares of state aid at the margin from rural to urban school districts</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This distributional characteristic injects an additional dimension to constructing a politically viable state aid mechanism</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Nevertheless, prices vary across school districts and affect the real levels of education goods and services that can be purchased</w:t>
            </w:r>
            <w:r w:rsidR="009739FE" w:rsidRPr="00F40195">
              <w:rPr>
                <w:rStyle w:val="FontStyle131"/>
                <w:rFonts w:ascii="Times New Roman" w:hAnsi="Times New Roman" w:cs="Times New Roman"/>
                <w:sz w:val="24"/>
                <w:szCs w:val="24"/>
              </w:rPr>
              <w:t xml:space="preserve">. </w:t>
            </w:r>
            <w:r w:rsidRPr="00F40195">
              <w:rPr>
                <w:rStyle w:val="FontStyle131"/>
                <w:rFonts w:ascii="Times New Roman" w:hAnsi="Times New Roman" w:cs="Times New Roman"/>
                <w:sz w:val="24"/>
                <w:szCs w:val="24"/>
              </w:rPr>
              <w:t>Including an education price index in the school aid formula is a direct way to adjust for these circumstances that are outside the control of school district policymakers.</w:t>
            </w:r>
          </w:p>
        </w:tc>
      </w:tr>
    </w:tbl>
    <w:p w:rsidR="003212FE" w:rsidRPr="00F40195" w:rsidRDefault="003212FE" w:rsidP="007162A8">
      <w:pPr>
        <w:pStyle w:val="Heading2"/>
      </w:pPr>
      <w:bookmarkStart w:id="125" w:name="_Toc395180710"/>
      <w:r w:rsidRPr="00F40195">
        <w:lastRenderedPageBreak/>
        <w:t>G. Summary of Staffing and other Resources for Small Schools</w:t>
      </w:r>
      <w:bookmarkEnd w:id="125"/>
    </w:p>
    <w:p w:rsidR="003212FE" w:rsidRPr="00F40195" w:rsidRDefault="003212FE" w:rsidP="00F40195">
      <w:pPr>
        <w:spacing w:line="240" w:lineRule="auto"/>
        <w:contextualSpacing/>
        <w:rPr>
          <w:rFonts w:eastAsia="Times New Roman" w:cs="Times New Roman"/>
          <w:b/>
          <w:bCs/>
          <w:caps/>
          <w:szCs w:val="28"/>
        </w:rPr>
      </w:pPr>
      <w:r w:rsidRPr="00F40195">
        <w:rPr>
          <w:rFonts w:cs="Times New Roman"/>
        </w:rPr>
        <w:t xml:space="preserve">For small schools with 50 or fewer students or with a KDE status as “alternative” the Evidence-Based (EB) model provides a different formula for estimating the cost of education. For schools of these types, the model allocates one Assistant Principal </w:t>
      </w:r>
      <w:proofErr w:type="gramStart"/>
      <w:r w:rsidRPr="00F40195">
        <w:rPr>
          <w:rFonts w:cs="Times New Roman"/>
        </w:rPr>
        <w:t>position</w:t>
      </w:r>
      <w:proofErr w:type="gramEnd"/>
      <w:r w:rsidRPr="00F40195">
        <w:rPr>
          <w:rFonts w:cs="Times New Roman"/>
        </w:rPr>
        <w:t xml:space="preserve"> and </w:t>
      </w:r>
      <w:r w:rsidR="00175E7A" w:rsidRPr="00F40195">
        <w:rPr>
          <w:rFonts w:cs="Times New Roman"/>
        </w:rPr>
        <w:t>1</w:t>
      </w:r>
      <w:r w:rsidRPr="00F40195">
        <w:rPr>
          <w:rFonts w:cs="Times New Roman"/>
        </w:rPr>
        <w:t xml:space="preserve"> teacher per </w:t>
      </w:r>
      <w:r w:rsidR="00175E7A" w:rsidRPr="00F40195">
        <w:rPr>
          <w:rFonts w:cs="Times New Roman"/>
        </w:rPr>
        <w:t>7</w:t>
      </w:r>
      <w:r w:rsidRPr="00F40195">
        <w:rPr>
          <w:rFonts w:cs="Times New Roman"/>
        </w:rPr>
        <w:t xml:space="preserve"> students (including additional professional development days and substitute teachers). Additionally, the model provides per-pupil dollar resources in a similar fashion as the base model (i.e. supplies, equipment/technology, gifted and talented, professional development, formative assessments, and activities)</w:t>
      </w:r>
      <w:r w:rsidR="0046655B" w:rsidRPr="00F40195">
        <w:rPr>
          <w:rFonts w:cs="Times New Roman"/>
        </w:rPr>
        <w:t xml:space="preserve"> as well as the cost of the census approach to special education</w:t>
      </w:r>
      <w:r w:rsidRPr="00F40195">
        <w:rPr>
          <w:rFonts w:cs="Times New Roman"/>
        </w:rPr>
        <w:t>.</w:t>
      </w:r>
      <w:r w:rsidR="00175E7A" w:rsidRPr="00F40195">
        <w:rPr>
          <w:rFonts w:cs="Times New Roman"/>
        </w:rPr>
        <w:t xml:space="preserve"> </w:t>
      </w:r>
      <w:proofErr w:type="gramStart"/>
      <w:r w:rsidR="00175E7A" w:rsidRPr="00F40195">
        <w:rPr>
          <w:rFonts w:cs="Times New Roman"/>
        </w:rPr>
        <w:t xml:space="preserve">Resources for </w:t>
      </w:r>
      <w:r w:rsidR="00175E7A" w:rsidRPr="00F40195">
        <w:rPr>
          <w:rFonts w:cs="Times New Roman"/>
          <w:i/>
          <w:szCs w:val="24"/>
        </w:rPr>
        <w:t>Low Incidence Disability</w:t>
      </w:r>
      <w:r w:rsidR="00175E7A" w:rsidRPr="00F40195">
        <w:rPr>
          <w:rFonts w:cs="Times New Roman"/>
          <w:szCs w:val="24"/>
        </w:rPr>
        <w:t xml:space="preserve"> students remains</w:t>
      </w:r>
      <w:proofErr w:type="gramEnd"/>
      <w:r w:rsidR="00175E7A" w:rsidRPr="00F40195">
        <w:rPr>
          <w:rFonts w:cs="Times New Roman"/>
          <w:szCs w:val="24"/>
        </w:rPr>
        <w:t xml:space="preserve"> the same—a state fiscal responsibility to not unnecessarily burden schools with students who need great additional resources to meet proficiency.</w:t>
      </w:r>
    </w:p>
    <w:p w:rsidR="0035794E" w:rsidRPr="00F40195" w:rsidRDefault="0035794E" w:rsidP="00F40195">
      <w:pPr>
        <w:spacing w:line="240" w:lineRule="auto"/>
        <w:rPr>
          <w:rFonts w:cs="Times New Roman"/>
        </w:rPr>
      </w:pPr>
    </w:p>
    <w:p w:rsidR="002A203A" w:rsidRPr="00F40195" w:rsidRDefault="0088358A" w:rsidP="003D442F">
      <w:pPr>
        <w:pStyle w:val="Heading1"/>
      </w:pPr>
      <w:r>
        <w:br w:type="page"/>
      </w:r>
      <w:bookmarkStart w:id="126" w:name="_Toc395180711"/>
      <w:r w:rsidR="002A203A" w:rsidRPr="00F40195">
        <w:lastRenderedPageBreak/>
        <w:t>References</w:t>
      </w:r>
      <w:bookmarkEnd w:id="126"/>
    </w:p>
    <w:p w:rsidR="00513C41" w:rsidRPr="00F40195" w:rsidRDefault="00513C41" w:rsidP="00F40195">
      <w:pPr>
        <w:spacing w:line="240" w:lineRule="auto"/>
        <w:ind w:left="720" w:hanging="720"/>
        <w:contextualSpacing/>
        <w:rPr>
          <w:rFonts w:cs="Times New Roman"/>
        </w:rPr>
      </w:pPr>
    </w:p>
    <w:p w:rsidR="00513C41" w:rsidRPr="00F40195" w:rsidRDefault="00513C41" w:rsidP="00841252">
      <w:pPr>
        <w:spacing w:line="240" w:lineRule="auto"/>
        <w:ind w:left="720" w:hanging="720"/>
        <w:rPr>
          <w:rFonts w:cs="Times New Roman"/>
        </w:rPr>
      </w:pPr>
      <w:proofErr w:type="gramStart"/>
      <w:r w:rsidRPr="00F40195">
        <w:rPr>
          <w:rFonts w:cs="Times New Roman"/>
        </w:rPr>
        <w:t>Alexander, Karl L., &amp; Entwisle, Doris S. (1996).</w:t>
      </w:r>
      <w:proofErr w:type="gramEnd"/>
      <w:r w:rsidRPr="00F40195">
        <w:rPr>
          <w:rFonts w:cs="Times New Roman"/>
        </w:rPr>
        <w:t xml:space="preserve"> </w:t>
      </w:r>
      <w:proofErr w:type="gramStart"/>
      <w:r w:rsidRPr="00F40195">
        <w:rPr>
          <w:rFonts w:cs="Times New Roman"/>
        </w:rPr>
        <w:t>Schools and children at risk.</w:t>
      </w:r>
      <w:proofErr w:type="gramEnd"/>
      <w:r w:rsidRPr="00F40195">
        <w:rPr>
          <w:rFonts w:cs="Times New Roman"/>
        </w:rPr>
        <w:t xml:space="preserve"> In A. Booth &amp; J.F. Dunn (Eds.), </w:t>
      </w:r>
      <w:r w:rsidRPr="00F40195">
        <w:rPr>
          <w:rFonts w:cs="Times New Roman"/>
          <w:i/>
        </w:rPr>
        <w:t>Family-school links: How do they affect educational outcomes?</w:t>
      </w:r>
      <w:r w:rsidRPr="00F40195">
        <w:rPr>
          <w:rFonts w:cs="Times New Roman"/>
        </w:rPr>
        <w:t xml:space="preserve"> (pp. 67–89). Mahwah, NJ: Lawrence Erlbaum.</w:t>
      </w:r>
    </w:p>
    <w:p w:rsidR="00513C41" w:rsidRPr="00F40195" w:rsidRDefault="00513C41" w:rsidP="00841252">
      <w:pPr>
        <w:autoSpaceDE w:val="0"/>
        <w:autoSpaceDN w:val="0"/>
        <w:adjustRightInd w:val="0"/>
        <w:spacing w:line="240" w:lineRule="auto"/>
        <w:ind w:left="720" w:hanging="720"/>
        <w:rPr>
          <w:rFonts w:cs="Times New Roman"/>
        </w:rPr>
      </w:pPr>
      <w:r w:rsidRPr="00F40195">
        <w:rPr>
          <w:rFonts w:cs="Times New Roman"/>
        </w:rPr>
        <w:t>Allington, R. L., McGill-Franzen, A., Camilli, G., Williams, L., Graff, J., Zeig, J</w:t>
      </w:r>
      <w:proofErr w:type="gramStart"/>
      <w:r w:rsidRPr="00F40195">
        <w:rPr>
          <w:rFonts w:cs="Times New Roman"/>
        </w:rPr>
        <w:t>., . . .</w:t>
      </w:r>
      <w:proofErr w:type="gramEnd"/>
      <w:r w:rsidRPr="00F40195">
        <w:rPr>
          <w:rFonts w:cs="Times New Roman"/>
        </w:rPr>
        <w:t xml:space="preserve"> Nowak, R. (2010). </w:t>
      </w:r>
      <w:proofErr w:type="gramStart"/>
      <w:r w:rsidRPr="00F40195">
        <w:rPr>
          <w:rFonts w:cs="Times New Roman"/>
        </w:rPr>
        <w:t>Addressing summer reading setback among economically disadvantaged elementary students.</w:t>
      </w:r>
      <w:proofErr w:type="gramEnd"/>
      <w:r w:rsidRPr="00F40195">
        <w:rPr>
          <w:rFonts w:cs="Times New Roman"/>
        </w:rPr>
        <w:t xml:space="preserve"> </w:t>
      </w:r>
      <w:proofErr w:type="gramStart"/>
      <w:r w:rsidRPr="00F40195">
        <w:rPr>
          <w:rFonts w:cs="Times New Roman"/>
        </w:rPr>
        <w:t>Reading Psychology, 411-427.</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Andrews, Matthew, Duncombe, William, &amp; Yinger, John.</w:t>
      </w:r>
      <w:proofErr w:type="gramEnd"/>
      <w:r w:rsidRPr="00F40195">
        <w:rPr>
          <w:rFonts w:cs="Times New Roman"/>
        </w:rPr>
        <w:t xml:space="preserve"> (2002). </w:t>
      </w:r>
      <w:proofErr w:type="gramStart"/>
      <w:r w:rsidRPr="00F40195">
        <w:rPr>
          <w:rFonts w:cs="Times New Roman"/>
        </w:rPr>
        <w:t>Revisiting</w:t>
      </w:r>
      <w:proofErr w:type="gramEnd"/>
      <w:r w:rsidRPr="00F40195">
        <w:rPr>
          <w:rFonts w:cs="Times New Roman"/>
        </w:rPr>
        <w:t xml:space="preserve"> economies of size in American Education: Are we any closer to a consensus. </w:t>
      </w:r>
      <w:r w:rsidRPr="00F40195">
        <w:rPr>
          <w:rFonts w:cs="Times New Roman"/>
          <w:i/>
        </w:rPr>
        <w:t>Economics of Education Review, 21</w:t>
      </w:r>
      <w:r w:rsidRPr="00F40195">
        <w:rPr>
          <w:rFonts w:cs="Times New Roman"/>
        </w:rPr>
        <w:t>(3), 245–262.</w:t>
      </w:r>
    </w:p>
    <w:p w:rsidR="00513C41" w:rsidRPr="00F40195" w:rsidRDefault="00513C41" w:rsidP="00841252">
      <w:pPr>
        <w:spacing w:line="240" w:lineRule="auto"/>
        <w:ind w:left="720" w:hanging="720"/>
        <w:rPr>
          <w:rFonts w:cs="Times New Roman"/>
        </w:rPr>
      </w:pPr>
      <w:proofErr w:type="gramStart"/>
      <w:r w:rsidRPr="00F40195">
        <w:rPr>
          <w:rFonts w:cs="Times New Roman"/>
        </w:rPr>
        <w:t>APPA.</w:t>
      </w:r>
      <w:proofErr w:type="gramEnd"/>
      <w:r w:rsidRPr="00F40195">
        <w:rPr>
          <w:rFonts w:cs="Times New Roman"/>
        </w:rPr>
        <w:t xml:space="preserve"> </w:t>
      </w:r>
      <w:proofErr w:type="gramStart"/>
      <w:r w:rsidRPr="00F40195">
        <w:rPr>
          <w:rFonts w:cs="Times New Roman"/>
        </w:rPr>
        <w:t>(1998).</w:t>
      </w:r>
      <w:r w:rsidRPr="00F40195">
        <w:rPr>
          <w:rFonts w:cs="Times New Roman"/>
          <w:i/>
        </w:rPr>
        <w:t xml:space="preserve"> Custodial Staffing Guidelines for Educational Facilities (2</w:t>
      </w:r>
      <w:r w:rsidRPr="00F40195">
        <w:rPr>
          <w:rFonts w:cs="Times New Roman"/>
          <w:i/>
          <w:vertAlign w:val="superscript"/>
        </w:rPr>
        <w:t>nd</w:t>
      </w:r>
      <w:r w:rsidRPr="00F40195">
        <w:rPr>
          <w:rFonts w:cs="Times New Roman"/>
          <w:i/>
        </w:rPr>
        <w:t xml:space="preserve"> Ed.).</w:t>
      </w:r>
      <w:proofErr w:type="gramEnd"/>
      <w:r w:rsidRPr="00F40195">
        <w:rPr>
          <w:rFonts w:cs="Times New Roman"/>
        </w:rPr>
        <w:t xml:space="preserve"> Alexandria, VA: APPA. </w:t>
      </w:r>
    </w:p>
    <w:p w:rsidR="00513C41" w:rsidRPr="00F40195" w:rsidRDefault="00513C41" w:rsidP="00841252">
      <w:pPr>
        <w:spacing w:line="240" w:lineRule="auto"/>
        <w:ind w:left="720" w:hanging="720"/>
        <w:rPr>
          <w:rFonts w:cs="Times New Roman"/>
        </w:rPr>
      </w:pPr>
      <w:proofErr w:type="gramStart"/>
      <w:r w:rsidRPr="00F40195">
        <w:rPr>
          <w:rFonts w:cs="Times New Roman"/>
        </w:rPr>
        <w:t>APPA.</w:t>
      </w:r>
      <w:proofErr w:type="gramEnd"/>
      <w:r w:rsidRPr="00F40195">
        <w:rPr>
          <w:rFonts w:cs="Times New Roman"/>
        </w:rPr>
        <w:t xml:space="preserve"> </w:t>
      </w:r>
      <w:proofErr w:type="gramStart"/>
      <w:r w:rsidRPr="00F40195">
        <w:rPr>
          <w:rFonts w:cs="Times New Roman"/>
        </w:rPr>
        <w:t>(2001).</w:t>
      </w:r>
      <w:r w:rsidRPr="00F40195">
        <w:rPr>
          <w:rFonts w:cs="Times New Roman"/>
          <w:i/>
        </w:rPr>
        <w:t xml:space="preserve"> Operational Guidelines for Grounds Management</w:t>
      </w:r>
      <w:r w:rsidRPr="00F40195">
        <w:rPr>
          <w:rFonts w:cs="Times New Roman"/>
        </w:rPr>
        <w:t>.</w:t>
      </w:r>
      <w:proofErr w:type="gramEnd"/>
      <w:r w:rsidRPr="00F40195">
        <w:rPr>
          <w:rFonts w:cs="Times New Roman"/>
        </w:rPr>
        <w:t xml:space="preserve"> Alexandria, VA: APPA National Recreation and Park Association, Professional Grounds Management Society. </w:t>
      </w:r>
    </w:p>
    <w:p w:rsidR="00513C41" w:rsidRPr="00F40195" w:rsidRDefault="00513C41" w:rsidP="00841252">
      <w:pPr>
        <w:spacing w:line="240" w:lineRule="auto"/>
        <w:ind w:left="720" w:hanging="720"/>
        <w:rPr>
          <w:rFonts w:cs="Times New Roman"/>
        </w:rPr>
      </w:pPr>
      <w:proofErr w:type="gramStart"/>
      <w:r w:rsidRPr="00F40195">
        <w:rPr>
          <w:rFonts w:cs="Times New Roman"/>
        </w:rPr>
        <w:t>APPA.</w:t>
      </w:r>
      <w:proofErr w:type="gramEnd"/>
      <w:r w:rsidRPr="00F40195">
        <w:rPr>
          <w:rFonts w:cs="Times New Roman"/>
        </w:rPr>
        <w:t xml:space="preserve"> </w:t>
      </w:r>
      <w:proofErr w:type="gramStart"/>
      <w:r w:rsidRPr="00F40195">
        <w:rPr>
          <w:rFonts w:cs="Times New Roman"/>
        </w:rPr>
        <w:t>(2002).</w:t>
      </w:r>
      <w:r w:rsidRPr="00F40195">
        <w:rPr>
          <w:rFonts w:cs="Times New Roman"/>
          <w:i/>
        </w:rPr>
        <w:t xml:space="preserve"> Maintenance Staffing Guidelines for Educational Facilities</w:t>
      </w:r>
      <w:r w:rsidRPr="00F40195">
        <w:rPr>
          <w:rFonts w:cs="Times New Roman"/>
        </w:rPr>
        <w:t>.</w:t>
      </w:r>
      <w:proofErr w:type="gramEnd"/>
      <w:r w:rsidRPr="00F40195">
        <w:rPr>
          <w:rFonts w:cs="Times New Roman"/>
        </w:rPr>
        <w:t xml:space="preserve"> Alexandria, VA: APPA. </w:t>
      </w:r>
    </w:p>
    <w:p w:rsidR="00513C41" w:rsidRPr="00F40195" w:rsidRDefault="00513C41" w:rsidP="00841252">
      <w:pPr>
        <w:spacing w:line="240" w:lineRule="auto"/>
        <w:ind w:left="720" w:hanging="720"/>
        <w:rPr>
          <w:rFonts w:cs="Times New Roman"/>
        </w:rPr>
      </w:pPr>
      <w:r w:rsidRPr="00F40195">
        <w:rPr>
          <w:rFonts w:cs="Times New Roman"/>
        </w:rPr>
        <w:t xml:space="preserve">Archambault Jr., Francis X., Westberg, Karen L., Brown, Scott, Hallmark, Brian W., Zhang, Wanli, &amp; Emmons, Christine. (1993). Regular classroom practices with gifted students:  Findings from the classroom practices survey. </w:t>
      </w:r>
      <w:r w:rsidRPr="00F40195">
        <w:rPr>
          <w:rFonts w:cs="Times New Roman"/>
          <w:i/>
          <w:iCs/>
        </w:rPr>
        <w:t>Journal for the Education of the Gifted, 16</w:t>
      </w:r>
      <w:r w:rsidRPr="00F40195">
        <w:rPr>
          <w:rFonts w:cs="Times New Roman"/>
        </w:rPr>
        <w:t>, 103-119.</w:t>
      </w:r>
    </w:p>
    <w:p w:rsidR="00513C41" w:rsidRPr="00F40195" w:rsidRDefault="00226E9F" w:rsidP="00841252">
      <w:pPr>
        <w:spacing w:line="240" w:lineRule="auto"/>
        <w:ind w:left="720" w:hanging="720"/>
        <w:rPr>
          <w:rFonts w:cs="Times New Roman"/>
        </w:rPr>
      </w:pPr>
      <w:r w:rsidRPr="00F40195">
        <w:rPr>
          <w:rFonts w:cs="Times New Roman"/>
        </w:rPr>
        <w:t>Aroostook Band of Micmacs</w:t>
      </w:r>
      <w:proofErr w:type="gramStart"/>
      <w:r w:rsidRPr="00F40195">
        <w:rPr>
          <w:rFonts w:cs="Times New Roman"/>
        </w:rPr>
        <w:t>.</w:t>
      </w:r>
      <w:r w:rsidR="00513C41" w:rsidRPr="00F40195">
        <w:rPr>
          <w:rFonts w:cs="Times New Roman"/>
        </w:rPr>
        <w:t>(</w:t>
      </w:r>
      <w:proofErr w:type="gramEnd"/>
      <w:r w:rsidR="00513C41" w:rsidRPr="00F40195">
        <w:rPr>
          <w:rFonts w:cs="Times New Roman"/>
        </w:rPr>
        <w:t>n.d.).</w:t>
      </w:r>
      <w:r w:rsidRPr="00F40195">
        <w:rPr>
          <w:rFonts w:cs="Times New Roman"/>
        </w:rPr>
        <w:t>“</w:t>
      </w:r>
      <w:proofErr w:type="gramStart"/>
      <w:r w:rsidRPr="00F40195">
        <w:rPr>
          <w:rFonts w:cs="Times New Roman"/>
        </w:rPr>
        <w:t>Education.</w:t>
      </w:r>
      <w:proofErr w:type="gramEnd"/>
      <w:r w:rsidR="007619E2" w:rsidRPr="00F40195">
        <w:rPr>
          <w:rFonts w:cs="Times New Roman"/>
        </w:rPr>
        <w:t xml:space="preserve"> </w:t>
      </w:r>
      <w:r w:rsidRPr="00F40195">
        <w:rPr>
          <w:rFonts w:cs="Times New Roman"/>
        </w:rPr>
        <w:t>”http://www.micmac</w:t>
      </w:r>
      <w:r w:rsidR="00513C41" w:rsidRPr="00F40195">
        <w:rPr>
          <w:rFonts w:cs="Times New Roman"/>
        </w:rPr>
        <w:t>nsn.gov/html/education.html</w:t>
      </w:r>
    </w:p>
    <w:p w:rsidR="00513C41" w:rsidRPr="00F40195" w:rsidRDefault="00513C41" w:rsidP="00841252">
      <w:pPr>
        <w:spacing w:line="240" w:lineRule="auto"/>
        <w:ind w:left="720" w:hanging="720"/>
        <w:rPr>
          <w:rFonts w:cs="Times New Roman"/>
        </w:rPr>
      </w:pPr>
      <w:r w:rsidRPr="00F40195">
        <w:rPr>
          <w:rFonts w:cs="Times New Roman"/>
        </w:rPr>
        <w:t xml:space="preserve">Baker, Bruce. (2005). </w:t>
      </w:r>
      <w:r w:rsidRPr="00F40195">
        <w:rPr>
          <w:rFonts w:cs="Times New Roman"/>
          <w:i/>
        </w:rPr>
        <w:t>Development of</w:t>
      </w:r>
      <w:r w:rsidR="00107A4F">
        <w:rPr>
          <w:rFonts w:cs="Times New Roman"/>
          <w:i/>
        </w:rPr>
        <w:t xml:space="preserve"> </w:t>
      </w:r>
      <w:proofErr w:type="gramStart"/>
      <w:r w:rsidR="00107A4F">
        <w:rPr>
          <w:rFonts w:cs="Times New Roman"/>
          <w:i/>
        </w:rPr>
        <w:t>an</w:t>
      </w:r>
      <w:proofErr w:type="gramEnd"/>
      <w:r w:rsidR="00107A4F">
        <w:rPr>
          <w:rFonts w:cs="Times New Roman"/>
          <w:i/>
        </w:rPr>
        <w:t xml:space="preserve"> Hedonic Wage Index for the </w:t>
      </w:r>
      <w:r w:rsidRPr="00F40195">
        <w:rPr>
          <w:rFonts w:cs="Times New Roman"/>
          <w:i/>
        </w:rPr>
        <w:t>Wyoming School Funding Model</w:t>
      </w:r>
      <w:r w:rsidRPr="00F40195">
        <w:rPr>
          <w:rFonts w:cs="Times New Roman"/>
        </w:rPr>
        <w:t>. Analysis prepared for the Wyoming Legislature under the auspices of Lawrence O. Picus and Associates.</w:t>
      </w:r>
    </w:p>
    <w:p w:rsidR="00513C41" w:rsidRPr="00F40195" w:rsidRDefault="00513C41" w:rsidP="00841252">
      <w:pPr>
        <w:pStyle w:val="SFRPReportAuthors"/>
        <w:ind w:left="720" w:hanging="720"/>
        <w:jc w:val="left"/>
        <w:rPr>
          <w:b w:val="0"/>
          <w:sz w:val="24"/>
        </w:rPr>
      </w:pPr>
      <w:proofErr w:type="gramStart"/>
      <w:r w:rsidRPr="00F40195">
        <w:rPr>
          <w:b w:val="0"/>
          <w:sz w:val="24"/>
        </w:rPr>
        <w:t>Ballou, Dale &amp; Michael Podgursky</w:t>
      </w:r>
      <w:r w:rsidR="009739FE" w:rsidRPr="00F40195">
        <w:rPr>
          <w:b w:val="0"/>
          <w:sz w:val="24"/>
        </w:rPr>
        <w:t>.</w:t>
      </w:r>
      <w:proofErr w:type="gramEnd"/>
      <w:r w:rsidR="009739FE" w:rsidRPr="00F40195">
        <w:rPr>
          <w:b w:val="0"/>
          <w:sz w:val="24"/>
        </w:rPr>
        <w:t xml:space="preserve"> </w:t>
      </w:r>
      <w:proofErr w:type="gramStart"/>
      <w:r w:rsidRPr="00F40195">
        <w:rPr>
          <w:b w:val="0"/>
          <w:sz w:val="24"/>
        </w:rPr>
        <w:t xml:space="preserve">(1997). </w:t>
      </w:r>
      <w:r w:rsidRPr="00F40195">
        <w:rPr>
          <w:b w:val="0"/>
          <w:i/>
          <w:sz w:val="24"/>
        </w:rPr>
        <w:t>Teacher Pay and Teacher Quality</w:t>
      </w:r>
      <w:r w:rsidRPr="00F40195">
        <w:rPr>
          <w:b w:val="0"/>
          <w:sz w:val="24"/>
        </w:rPr>
        <w:t>.</w:t>
      </w:r>
      <w:proofErr w:type="gramEnd"/>
      <w:r w:rsidRPr="00F40195">
        <w:rPr>
          <w:b w:val="0"/>
          <w:sz w:val="24"/>
        </w:rPr>
        <w:t xml:space="preserve"> Kalamazoo, MI: W.E. Upjohn Institute for Employment Research.</w:t>
      </w:r>
    </w:p>
    <w:p w:rsidR="00513C41" w:rsidRPr="00F40195" w:rsidRDefault="00513C41" w:rsidP="00841252">
      <w:pPr>
        <w:spacing w:line="240" w:lineRule="auto"/>
        <w:ind w:left="720" w:hanging="720"/>
        <w:rPr>
          <w:rFonts w:cs="Times New Roman"/>
        </w:rPr>
      </w:pPr>
      <w:proofErr w:type="gramStart"/>
      <w:r w:rsidRPr="00F40195">
        <w:rPr>
          <w:rFonts w:cs="Times New Roman"/>
        </w:rPr>
        <w:t>Barnett, W. Steven, &amp; Masse, Leonard N. (2007).</w:t>
      </w:r>
      <w:proofErr w:type="gramEnd"/>
      <w:r w:rsidRPr="00F40195">
        <w:rPr>
          <w:rFonts w:cs="Times New Roman"/>
        </w:rPr>
        <w:t xml:space="preserve"> </w:t>
      </w:r>
      <w:proofErr w:type="gramStart"/>
      <w:r w:rsidRPr="00F40195">
        <w:rPr>
          <w:rFonts w:cs="Times New Roman"/>
        </w:rPr>
        <w:t>Comparative benefit–cost analysis of the Abecedarian program and its policy implications.</w:t>
      </w:r>
      <w:proofErr w:type="gramEnd"/>
      <w:r w:rsidRPr="00F40195">
        <w:rPr>
          <w:rFonts w:cs="Times New Roman"/>
        </w:rPr>
        <w:t xml:space="preserve"> </w:t>
      </w:r>
      <w:r w:rsidRPr="00F40195">
        <w:rPr>
          <w:rFonts w:cs="Times New Roman"/>
          <w:i/>
        </w:rPr>
        <w:t>Economics of Education Review</w:t>
      </w:r>
      <w:r w:rsidRPr="00F40195">
        <w:rPr>
          <w:rFonts w:cs="Times New Roman"/>
        </w:rPr>
        <w:t>, 26 (2) 113–125</w:t>
      </w:r>
    </w:p>
    <w:p w:rsidR="00513C41" w:rsidRPr="00F40195" w:rsidRDefault="00513C41" w:rsidP="00841252">
      <w:pPr>
        <w:spacing w:line="240" w:lineRule="auto"/>
        <w:ind w:left="720" w:hanging="720"/>
        <w:rPr>
          <w:rFonts w:cs="Times New Roman"/>
        </w:rPr>
      </w:pPr>
      <w:proofErr w:type="gramStart"/>
      <w:r w:rsidRPr="00F40195">
        <w:rPr>
          <w:rFonts w:cs="Times New Roman"/>
        </w:rPr>
        <w:t>Barnett, W. Steven.</w:t>
      </w:r>
      <w:proofErr w:type="gramEnd"/>
      <w:r w:rsidRPr="00F40195">
        <w:rPr>
          <w:rFonts w:cs="Times New Roman"/>
        </w:rPr>
        <w:t xml:space="preserve"> </w:t>
      </w:r>
      <w:proofErr w:type="gramStart"/>
      <w:r w:rsidRPr="00F40195">
        <w:rPr>
          <w:rFonts w:cs="Times New Roman"/>
        </w:rPr>
        <w:t>(2007). Benefits and Costs of Quality Early Childhood Education.</w:t>
      </w:r>
      <w:proofErr w:type="gramEnd"/>
      <w:r w:rsidRPr="00F40195">
        <w:rPr>
          <w:rFonts w:cs="Times New Roman"/>
        </w:rPr>
        <w:t xml:space="preserve"> </w:t>
      </w:r>
      <w:proofErr w:type="gramStart"/>
      <w:r w:rsidRPr="00F40195">
        <w:rPr>
          <w:rFonts w:cs="Times New Roman"/>
          <w:i/>
        </w:rPr>
        <w:t>The Children’s Legal Rights Journal</w:t>
      </w:r>
      <w:r w:rsidRPr="00F40195">
        <w:rPr>
          <w:rFonts w:cs="Times New Roman"/>
        </w:rPr>
        <w:t>, 27(10, 7-23.</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color w:val="000000"/>
        </w:rPr>
        <w:t>Barnett, W. Steven.</w:t>
      </w:r>
      <w:proofErr w:type="gramEnd"/>
      <w:r w:rsidRPr="00F40195">
        <w:rPr>
          <w:rFonts w:cs="Times New Roman"/>
          <w:color w:val="000000"/>
        </w:rPr>
        <w:t xml:space="preserve"> </w:t>
      </w:r>
      <w:proofErr w:type="gramStart"/>
      <w:r w:rsidRPr="00F40195">
        <w:rPr>
          <w:rFonts w:cs="Times New Roman"/>
          <w:color w:val="000000"/>
        </w:rPr>
        <w:t>(2011). Effectiveness of early educational intervention.</w:t>
      </w:r>
      <w:proofErr w:type="gramEnd"/>
      <w:r w:rsidRPr="00F40195">
        <w:rPr>
          <w:rFonts w:cs="Times New Roman"/>
          <w:color w:val="000000"/>
        </w:rPr>
        <w:t xml:space="preserve"> </w:t>
      </w:r>
      <w:r w:rsidRPr="00F40195">
        <w:rPr>
          <w:rFonts w:cs="Times New Roman"/>
          <w:i/>
          <w:color w:val="000000"/>
        </w:rPr>
        <w:t>Science, 333</w:t>
      </w:r>
      <w:r w:rsidRPr="00F40195">
        <w:rPr>
          <w:rFonts w:cs="Times New Roman"/>
          <w:color w:val="000000"/>
        </w:rPr>
        <w:t>(6045), 975–</w:t>
      </w:r>
      <w:r w:rsidRPr="00F40195">
        <w:rPr>
          <w:rFonts w:cs="Times New Roman"/>
        </w:rPr>
        <w:t xml:space="preserve">B.W. </w:t>
      </w:r>
      <w:proofErr w:type="gramStart"/>
      <w:r w:rsidRPr="00F40195">
        <w:rPr>
          <w:rFonts w:cs="Times New Roman"/>
          <w:color w:val="000000"/>
        </w:rPr>
        <w:t>978 .</w:t>
      </w:r>
      <w:proofErr w:type="gramEnd"/>
      <w:r w:rsidRPr="00F40195">
        <w:rPr>
          <w:rFonts w:cs="Times New Roman"/>
          <w:color w:val="000000"/>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Battaglino, Tamara Butler, Haldeman, Matt, &amp; Laurans, Eleanor. (2012). </w:t>
      </w:r>
      <w:proofErr w:type="gramStart"/>
      <w:r w:rsidRPr="00F40195">
        <w:rPr>
          <w:rFonts w:cs="Times New Roman"/>
          <w:i/>
        </w:rPr>
        <w:t>The</w:t>
      </w:r>
      <w:proofErr w:type="gramEnd"/>
      <w:r w:rsidRPr="00F40195">
        <w:rPr>
          <w:rFonts w:cs="Times New Roman"/>
          <w:i/>
        </w:rPr>
        <w:t xml:space="preserve"> costs of online learning. </w:t>
      </w:r>
      <w:r w:rsidRPr="00F40195">
        <w:rPr>
          <w:rFonts w:cs="Times New Roman"/>
        </w:rPr>
        <w:t xml:space="preserve">Dayton, OH: Thomas Fordham Institute. </w:t>
      </w:r>
    </w:p>
    <w:p w:rsidR="00513C41" w:rsidRPr="00F40195" w:rsidRDefault="00513C41" w:rsidP="00841252">
      <w:pPr>
        <w:spacing w:line="240" w:lineRule="auto"/>
        <w:ind w:left="720" w:hanging="720"/>
        <w:rPr>
          <w:rFonts w:cs="Times New Roman"/>
        </w:rPr>
      </w:pPr>
      <w:proofErr w:type="gramStart"/>
      <w:r w:rsidRPr="00F40195">
        <w:rPr>
          <w:rFonts w:cs="Times New Roman"/>
        </w:rPr>
        <w:t>Black, Paul, &amp; Wiliam, Dylan.</w:t>
      </w:r>
      <w:proofErr w:type="gramEnd"/>
      <w:r w:rsidRPr="00F40195">
        <w:rPr>
          <w:rFonts w:cs="Times New Roman"/>
        </w:rPr>
        <w:t xml:space="preserve"> (1998). Inside the Black Box: Raising standards through classroom assessments. </w:t>
      </w:r>
      <w:r w:rsidRPr="00F40195">
        <w:rPr>
          <w:rFonts w:cs="Times New Roman"/>
          <w:i/>
        </w:rPr>
        <w:t>Phi Delta Kappan,</w:t>
      </w:r>
      <w:r w:rsidRPr="00F40195">
        <w:rPr>
          <w:rFonts w:cs="Times New Roman"/>
        </w:rPr>
        <w:t xml:space="preserve"> </w:t>
      </w:r>
      <w:r w:rsidRPr="00F40195">
        <w:rPr>
          <w:rFonts w:cs="Times New Roman"/>
          <w:i/>
        </w:rPr>
        <w:t>80</w:t>
      </w:r>
      <w:r w:rsidRPr="00F40195">
        <w:rPr>
          <w:rFonts w:cs="Times New Roman"/>
        </w:rPr>
        <w:t>(2), 139-148.</w:t>
      </w:r>
    </w:p>
    <w:p w:rsidR="00513C41" w:rsidRPr="00F40195" w:rsidRDefault="00513C41" w:rsidP="00841252">
      <w:pPr>
        <w:spacing w:line="240" w:lineRule="auto"/>
        <w:ind w:left="720" w:hanging="720"/>
        <w:rPr>
          <w:rFonts w:cs="Times New Roman"/>
        </w:rPr>
      </w:pPr>
      <w:r w:rsidRPr="00F40195">
        <w:rPr>
          <w:rFonts w:cs="Times New Roman"/>
        </w:rPr>
        <w:t xml:space="preserve">Blankstein, Alan. (2010). </w:t>
      </w:r>
      <w:r w:rsidRPr="00F40195">
        <w:rPr>
          <w:rFonts w:cs="Times New Roman"/>
          <w:i/>
        </w:rPr>
        <w:t xml:space="preserve">Failure is not an option </w:t>
      </w:r>
      <w:r w:rsidRPr="00F40195">
        <w:rPr>
          <w:rFonts w:cs="Times New Roman"/>
        </w:rPr>
        <w:t>(2</w:t>
      </w:r>
      <w:r w:rsidRPr="00F40195">
        <w:rPr>
          <w:rFonts w:cs="Times New Roman"/>
          <w:sz w:val="22"/>
        </w:rPr>
        <w:t>nd</w:t>
      </w:r>
      <w:r w:rsidRPr="00F40195">
        <w:rPr>
          <w:rFonts w:cs="Times New Roman"/>
        </w:rPr>
        <w:t xml:space="preserve"> </w:t>
      </w:r>
      <w:proofErr w:type="gramStart"/>
      <w:r w:rsidRPr="00F40195">
        <w:rPr>
          <w:rFonts w:cs="Times New Roman"/>
        </w:rPr>
        <w:t>ed</w:t>
      </w:r>
      <w:proofErr w:type="gramEnd"/>
      <w:r w:rsidRPr="00F40195">
        <w:rPr>
          <w:rFonts w:cs="Times New Roman"/>
        </w:rPr>
        <w:t>,</w:t>
      </w:r>
      <w:r w:rsidRPr="00F40195">
        <w:rPr>
          <w:rFonts w:cs="Times New Roman"/>
          <w:i/>
        </w:rPr>
        <w:t>)</w:t>
      </w:r>
      <w:r w:rsidRPr="00F40195">
        <w:rPr>
          <w:rFonts w:cs="Times New Roman"/>
        </w:rPr>
        <w:t>. Thousand Oaks: Corwin Press.</w:t>
      </w:r>
    </w:p>
    <w:p w:rsidR="00513C41" w:rsidRPr="00F40195" w:rsidRDefault="00513C41" w:rsidP="00841252">
      <w:pPr>
        <w:spacing w:line="240" w:lineRule="auto"/>
        <w:ind w:left="720" w:hanging="720"/>
        <w:rPr>
          <w:rFonts w:cs="Times New Roman"/>
        </w:rPr>
      </w:pPr>
      <w:r w:rsidRPr="00F40195">
        <w:rPr>
          <w:rFonts w:cs="Times New Roman"/>
        </w:rPr>
        <w:t xml:space="preserve">Blankstein, Alan. (2011). </w:t>
      </w:r>
      <w:r w:rsidRPr="00F40195">
        <w:rPr>
          <w:rFonts w:cs="Times New Roman"/>
          <w:i/>
        </w:rPr>
        <w:t xml:space="preserve">The Answer is in the Room: How Effective Schools Scale </w:t>
      </w:r>
      <w:proofErr w:type="gramStart"/>
      <w:r w:rsidRPr="00F40195">
        <w:rPr>
          <w:rFonts w:cs="Times New Roman"/>
          <w:i/>
        </w:rPr>
        <w:t>Up</w:t>
      </w:r>
      <w:proofErr w:type="gramEnd"/>
      <w:r w:rsidRPr="00F40195">
        <w:rPr>
          <w:rFonts w:cs="Times New Roman"/>
          <w:i/>
        </w:rPr>
        <w:t xml:space="preserve"> Student Success</w:t>
      </w:r>
      <w:r w:rsidRPr="00F40195">
        <w:rPr>
          <w:rFonts w:cs="Times New Roman"/>
        </w:rPr>
        <w:t>. Thousand Oaks: Corwin Press.</w:t>
      </w:r>
    </w:p>
    <w:p w:rsidR="00107A4F" w:rsidRPr="00F40195" w:rsidRDefault="00513C41" w:rsidP="003D442F">
      <w:pPr>
        <w:spacing w:line="240" w:lineRule="auto"/>
        <w:ind w:left="720" w:hanging="720"/>
        <w:rPr>
          <w:rFonts w:cs="Times New Roman"/>
        </w:rPr>
      </w:pPr>
      <w:proofErr w:type="gramStart"/>
      <w:r w:rsidRPr="00F40195">
        <w:rPr>
          <w:rFonts w:cs="Times New Roman"/>
        </w:rPr>
        <w:lastRenderedPageBreak/>
        <w:t>Bleske-Rechek, April, Lubinski, David, &amp; Benbow, Camilla P. (2004).</w:t>
      </w:r>
      <w:proofErr w:type="gramEnd"/>
      <w:r w:rsidRPr="00F40195">
        <w:rPr>
          <w:rFonts w:cs="Times New Roman"/>
        </w:rPr>
        <w:t xml:space="preserve"> </w:t>
      </w:r>
      <w:proofErr w:type="gramStart"/>
      <w:r w:rsidRPr="00F40195">
        <w:rPr>
          <w:rFonts w:cs="Times New Roman"/>
        </w:rPr>
        <w:t>Meeting the educational needs of special populations:  Advanced placement’s role in developing exceptional human capital.</w:t>
      </w:r>
      <w:proofErr w:type="gramEnd"/>
      <w:r w:rsidRPr="00F40195">
        <w:rPr>
          <w:rFonts w:cs="Times New Roman"/>
        </w:rPr>
        <w:t xml:space="preserve"> </w:t>
      </w:r>
      <w:proofErr w:type="gramStart"/>
      <w:r w:rsidRPr="00F40195">
        <w:rPr>
          <w:rFonts w:cs="Times New Roman"/>
          <w:i/>
          <w:iCs/>
        </w:rPr>
        <w:t>Psychological Science,</w:t>
      </w:r>
      <w:r w:rsidRPr="00F40195">
        <w:rPr>
          <w:rFonts w:cs="Times New Roman"/>
        </w:rPr>
        <w:t xml:space="preserve"> </w:t>
      </w:r>
      <w:r w:rsidRPr="00F40195">
        <w:rPr>
          <w:rFonts w:cs="Times New Roman"/>
          <w:i/>
        </w:rPr>
        <w:t>15</w:t>
      </w:r>
      <w:r w:rsidRPr="00F40195">
        <w:rPr>
          <w:rFonts w:cs="Times New Roman"/>
        </w:rPr>
        <w:t>(4), 217</w:t>
      </w:r>
      <w:r w:rsidRPr="00F40195">
        <w:rPr>
          <w:rStyle w:val="Emphasis"/>
          <w:rFonts w:cs="Times New Roman"/>
        </w:rPr>
        <w:t xml:space="preserve"> </w:t>
      </w:r>
      <w:r w:rsidRPr="00F40195">
        <w:rPr>
          <w:rStyle w:val="FontStyle28"/>
          <w:rFonts w:ascii="Times New Roman" w:hAnsi="Times New Roman" w:cs="Times New Roman"/>
        </w:rPr>
        <w:t>–</w:t>
      </w:r>
      <w:r w:rsidRPr="00F40195">
        <w:rPr>
          <w:rFonts w:cs="Times New Roman"/>
        </w:rPr>
        <w:t>224.</w:t>
      </w:r>
      <w:proofErr w:type="gramEnd"/>
    </w:p>
    <w:p w:rsidR="00107A4F" w:rsidRDefault="00107A4F" w:rsidP="00841252">
      <w:pPr>
        <w:pStyle w:val="BodyText"/>
        <w:spacing w:after="0"/>
      </w:pPr>
      <w:proofErr w:type="gramStart"/>
      <w:r w:rsidRPr="00666A7F">
        <w:t>Borman, G., G</w:t>
      </w:r>
      <w:r>
        <w:t>oetz, M., &amp; Dowling, M. (2009</w:t>
      </w:r>
      <w:r w:rsidRPr="00666A7F">
        <w:t>).</w:t>
      </w:r>
      <w:proofErr w:type="gramEnd"/>
      <w:r w:rsidRPr="00666A7F">
        <w:t xml:space="preserve"> </w:t>
      </w:r>
      <w:r w:rsidRPr="00472BD4">
        <w:t xml:space="preserve">Halting the summer achievement slide: </w:t>
      </w:r>
      <w:r>
        <w:t xml:space="preserve"> </w:t>
      </w:r>
      <w:r w:rsidRPr="00472BD4">
        <w:t>A</w:t>
      </w:r>
    </w:p>
    <w:p w:rsidR="00107A4F" w:rsidRPr="00F40195" w:rsidRDefault="00107A4F" w:rsidP="003D442F">
      <w:pPr>
        <w:pStyle w:val="BodyText"/>
        <w:spacing w:after="0"/>
        <w:ind w:left="720"/>
      </w:pPr>
      <w:proofErr w:type="gramStart"/>
      <w:r w:rsidRPr="00472BD4">
        <w:t>randomized</w:t>
      </w:r>
      <w:proofErr w:type="gramEnd"/>
      <w:r w:rsidRPr="00472BD4">
        <w:t xml:space="preserve"> evaluation of the </w:t>
      </w:r>
      <w:r w:rsidRPr="00C70ACC">
        <w:rPr>
          <w:i/>
        </w:rPr>
        <w:t>KindergARTen</w:t>
      </w:r>
      <w:r w:rsidRPr="00472BD4">
        <w:t xml:space="preserve"> Summer Camp.</w:t>
      </w:r>
      <w:r w:rsidRPr="00666A7F">
        <w:rPr>
          <w:i/>
          <w:iCs/>
        </w:rPr>
        <w:t xml:space="preserve"> Journal of Education for Students Placed At Risk</w:t>
      </w:r>
      <w:r>
        <w:rPr>
          <w:i/>
          <w:iCs/>
        </w:rPr>
        <w:t xml:space="preserve">, </w:t>
      </w:r>
      <w:r w:rsidRPr="00BE0197">
        <w:rPr>
          <w:i/>
        </w:rPr>
        <w:t>1</w:t>
      </w:r>
      <w:r>
        <w:rPr>
          <w:i/>
        </w:rPr>
        <w:t>4</w:t>
      </w:r>
      <w:r w:rsidR="003D442F">
        <w:t>(2), 133-147.</w:t>
      </w:r>
    </w:p>
    <w:p w:rsidR="00513C41" w:rsidRPr="00F40195" w:rsidRDefault="00513C41" w:rsidP="00841252">
      <w:pPr>
        <w:spacing w:line="240" w:lineRule="auto"/>
        <w:ind w:left="720" w:hanging="720"/>
        <w:rPr>
          <w:rFonts w:cs="Times New Roman"/>
        </w:rPr>
      </w:pPr>
      <w:r w:rsidRPr="00F40195">
        <w:rPr>
          <w:rFonts w:cs="Times New Roman"/>
        </w:rPr>
        <w:t xml:space="preserve">Borman, Geoffrey D. (2001). Summers are for learning. </w:t>
      </w:r>
      <w:r w:rsidRPr="00F40195">
        <w:rPr>
          <w:rFonts w:cs="Times New Roman"/>
          <w:i/>
        </w:rPr>
        <w:t>Principal, 80</w:t>
      </w:r>
      <w:r w:rsidRPr="00F40195">
        <w:rPr>
          <w:rFonts w:cs="Times New Roman"/>
        </w:rPr>
        <w:t>(3), 26-29.</w:t>
      </w:r>
    </w:p>
    <w:p w:rsidR="00513C41" w:rsidRPr="00F40195" w:rsidRDefault="00513C41" w:rsidP="00841252">
      <w:pPr>
        <w:spacing w:line="240" w:lineRule="auto"/>
        <w:ind w:left="720" w:hanging="720"/>
        <w:rPr>
          <w:rFonts w:cs="Times New Roman"/>
        </w:rPr>
      </w:pPr>
      <w:r w:rsidRPr="00F40195">
        <w:rPr>
          <w:rFonts w:cs="Times New Roman"/>
        </w:rPr>
        <w:t xml:space="preserve">Borman, Geoffrey D., &amp; Boulay. Matthew. (Eds.). (2004). </w:t>
      </w:r>
      <w:r w:rsidRPr="00F40195">
        <w:rPr>
          <w:rFonts w:cs="Times New Roman"/>
          <w:i/>
        </w:rPr>
        <w:t>Summer Learning: Research, policies and programs</w:t>
      </w:r>
      <w:r w:rsidRPr="00F40195">
        <w:rPr>
          <w:rFonts w:cs="Times New Roman"/>
        </w:rPr>
        <w:t xml:space="preserve">. Mahwah, NJ: Lawrence Erlbaum Associates. </w:t>
      </w:r>
    </w:p>
    <w:p w:rsidR="00513C41" w:rsidRPr="00F40195" w:rsidRDefault="00513C41" w:rsidP="00841252">
      <w:pPr>
        <w:spacing w:line="240" w:lineRule="auto"/>
        <w:ind w:left="720" w:hanging="720"/>
        <w:rPr>
          <w:rFonts w:cs="Times New Roman"/>
        </w:rPr>
      </w:pPr>
      <w:proofErr w:type="gramStart"/>
      <w:r w:rsidRPr="00F40195">
        <w:rPr>
          <w:rFonts w:cs="Times New Roman"/>
        </w:rPr>
        <w:t>Borman, Geoffrey D., &amp; Dowling, Maritza.</w:t>
      </w:r>
      <w:proofErr w:type="gramEnd"/>
      <w:r w:rsidRPr="00F40195">
        <w:rPr>
          <w:rFonts w:cs="Times New Roman"/>
        </w:rPr>
        <w:t xml:space="preserve"> (2006). </w:t>
      </w:r>
      <w:proofErr w:type="gramStart"/>
      <w:r w:rsidRPr="00F40195">
        <w:rPr>
          <w:rFonts w:cs="Times New Roman"/>
        </w:rPr>
        <w:t>The</w:t>
      </w:r>
      <w:proofErr w:type="gramEnd"/>
      <w:r w:rsidRPr="00F40195">
        <w:rPr>
          <w:rFonts w:cs="Times New Roman"/>
        </w:rPr>
        <w:t xml:space="preserve"> longitudinal achievement effects of multi-year summer school: Evidence from the Teach Baltimore randomized field trial. </w:t>
      </w:r>
      <w:proofErr w:type="gramStart"/>
      <w:r w:rsidRPr="00F40195">
        <w:rPr>
          <w:rFonts w:cs="Times New Roman"/>
          <w:i/>
          <w:iCs/>
        </w:rPr>
        <w:t>Educational Evaluation and Policy Analysis, 28</w:t>
      </w:r>
      <w:r w:rsidRPr="00F40195">
        <w:rPr>
          <w:rFonts w:cs="Times New Roman"/>
        </w:rPr>
        <w:t>, 25</w:t>
      </w:r>
      <w:r w:rsidRPr="00F40195">
        <w:rPr>
          <w:rStyle w:val="Emphasis"/>
          <w:rFonts w:cs="Times New Roman"/>
        </w:rPr>
        <w:t xml:space="preserve"> </w:t>
      </w:r>
      <w:r w:rsidRPr="00F40195">
        <w:rPr>
          <w:rStyle w:val="FontStyle28"/>
          <w:rFonts w:ascii="Times New Roman" w:hAnsi="Times New Roman" w:cs="Times New Roman"/>
        </w:rPr>
        <w:t>–</w:t>
      </w:r>
      <w:r w:rsidRPr="00F40195">
        <w:rPr>
          <w:rFonts w:cs="Times New Roman"/>
        </w:rPr>
        <w:t>48.</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Borman, Geoffrey, Rachuba, Laura, Hewes, Gina Boulay, Matthew, &amp; Kaplan, Jody.</w:t>
      </w:r>
      <w:proofErr w:type="gramEnd"/>
      <w:r w:rsidRPr="00F40195">
        <w:rPr>
          <w:rFonts w:cs="Times New Roman"/>
        </w:rPr>
        <w:t xml:space="preserve"> (2001). Can a summer intervention program using trained volunteer teachers narrow the achievement gap?  First-year results from a multi-year study. </w:t>
      </w:r>
      <w:r w:rsidRPr="00F40195">
        <w:rPr>
          <w:rFonts w:cs="Times New Roman"/>
          <w:i/>
          <w:iCs/>
        </w:rPr>
        <w:t>ERS Spectrum, 19</w:t>
      </w:r>
      <w:r w:rsidRPr="00F40195">
        <w:rPr>
          <w:rFonts w:cs="Times New Roman"/>
        </w:rPr>
        <w:t>(2), 19-30.</w:t>
      </w:r>
    </w:p>
    <w:p w:rsidR="00513C41" w:rsidRPr="00F40195" w:rsidRDefault="00513C41" w:rsidP="00841252">
      <w:pPr>
        <w:spacing w:line="240" w:lineRule="auto"/>
        <w:ind w:left="720" w:hanging="720"/>
        <w:rPr>
          <w:rFonts w:cs="Times New Roman"/>
        </w:rPr>
      </w:pPr>
      <w:proofErr w:type="gramStart"/>
      <w:r w:rsidRPr="00F40195">
        <w:rPr>
          <w:rFonts w:cs="Times New Roman"/>
        </w:rPr>
        <w:t>Boyd, Donald, Hamilton Lankford, Susanna Loeb and James Wyckoff</w:t>
      </w:r>
      <w:r w:rsidR="009739FE" w:rsidRPr="00F40195">
        <w:rPr>
          <w:rFonts w:cs="Times New Roman"/>
        </w:rPr>
        <w:t>.</w:t>
      </w:r>
      <w:proofErr w:type="gramEnd"/>
      <w:r w:rsidR="009739FE" w:rsidRPr="00F40195">
        <w:rPr>
          <w:rFonts w:cs="Times New Roman"/>
        </w:rPr>
        <w:t xml:space="preserve"> </w:t>
      </w:r>
      <w:r w:rsidRPr="00F40195">
        <w:rPr>
          <w:rFonts w:cs="Times New Roman"/>
        </w:rPr>
        <w:t>(2003)</w:t>
      </w:r>
      <w:r w:rsidR="009739FE" w:rsidRPr="00F40195">
        <w:rPr>
          <w:rFonts w:cs="Times New Roman"/>
        </w:rPr>
        <w:t xml:space="preserve">. </w:t>
      </w:r>
      <w:r w:rsidRPr="00F40195">
        <w:rPr>
          <w:rFonts w:cs="Times New Roman"/>
        </w:rPr>
        <w:t>The Draw of Home: How Teachers’ Preferences for Proximity Disadvantage Urban Schools</w:t>
      </w:r>
      <w:r w:rsidR="009739FE" w:rsidRPr="00F40195">
        <w:rPr>
          <w:rFonts w:cs="Times New Roman"/>
        </w:rPr>
        <w:t xml:space="preserve">. </w:t>
      </w:r>
      <w:proofErr w:type="gramStart"/>
      <w:r w:rsidRPr="00F40195">
        <w:rPr>
          <w:rFonts w:cs="Times New Roman"/>
        </w:rPr>
        <w:t>NBER Working Paper No. w9953.</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Brabeck, Mary M., Walsh, M.E., &amp; Latta, Rachel.</w:t>
      </w:r>
      <w:proofErr w:type="gramEnd"/>
      <w:r w:rsidRPr="00F40195">
        <w:rPr>
          <w:rFonts w:cs="Times New Roman"/>
        </w:rPr>
        <w:t xml:space="preserve"> (2003). </w:t>
      </w:r>
      <w:r w:rsidRPr="00F40195">
        <w:rPr>
          <w:rFonts w:cs="Times New Roman"/>
          <w:i/>
        </w:rPr>
        <w:t xml:space="preserve">Meeting at the hyphen: Schools-universities-professions in collaboration for student achievement and well being. </w:t>
      </w:r>
      <w:proofErr w:type="gramStart"/>
      <w:r w:rsidRPr="00F40195">
        <w:rPr>
          <w:rFonts w:cs="Times New Roman"/>
          <w:i/>
        </w:rPr>
        <w:t>The one-hundred and second yearbook of the National Society for the Study of Education, Part II</w:t>
      </w:r>
      <w:r w:rsidRPr="00F40195">
        <w:rPr>
          <w:rFonts w:cs="Times New Roman"/>
        </w:rPr>
        <w:t>.</w:t>
      </w:r>
      <w:proofErr w:type="gramEnd"/>
      <w:r w:rsidRPr="00F40195">
        <w:rPr>
          <w:rFonts w:cs="Times New Roman"/>
        </w:rPr>
        <w:t xml:space="preserve"> Chicago: National Society for the Study of Education.</w:t>
      </w:r>
    </w:p>
    <w:p w:rsidR="00F063C6" w:rsidRPr="00F40195" w:rsidRDefault="00513C41" w:rsidP="00841252">
      <w:pPr>
        <w:spacing w:line="240" w:lineRule="auto"/>
        <w:ind w:left="720" w:hanging="720"/>
        <w:rPr>
          <w:rFonts w:cs="Times New Roman"/>
        </w:rPr>
      </w:pPr>
      <w:proofErr w:type="gramStart"/>
      <w:r w:rsidRPr="00F40195">
        <w:rPr>
          <w:rFonts w:cs="Times New Roman"/>
        </w:rPr>
        <w:t>Bransford, John, Brown, Ann, &amp; Cocking, Rodney.</w:t>
      </w:r>
      <w:proofErr w:type="gramEnd"/>
      <w:r w:rsidRPr="00F40195">
        <w:rPr>
          <w:rFonts w:cs="Times New Roman"/>
        </w:rPr>
        <w:t xml:space="preserve"> </w:t>
      </w:r>
      <w:proofErr w:type="gramStart"/>
      <w:r w:rsidRPr="00F40195">
        <w:rPr>
          <w:rFonts w:cs="Times New Roman"/>
        </w:rPr>
        <w:t xml:space="preserve">(1999). </w:t>
      </w:r>
      <w:r w:rsidRPr="00F40195">
        <w:rPr>
          <w:rFonts w:cs="Times New Roman"/>
          <w:i/>
        </w:rPr>
        <w:t>How people learn</w:t>
      </w:r>
      <w:r w:rsidRPr="00F40195">
        <w:rPr>
          <w:rFonts w:cs="Times New Roman"/>
        </w:rPr>
        <w:t>.</w:t>
      </w:r>
      <w:proofErr w:type="gramEnd"/>
      <w:r w:rsidRPr="00F40195">
        <w:rPr>
          <w:rFonts w:cs="Times New Roman"/>
        </w:rPr>
        <w:t xml:space="preserve"> Washington</w:t>
      </w:r>
      <w:r w:rsidR="00107A4F">
        <w:rPr>
          <w:rFonts w:cs="Times New Roman"/>
        </w:rPr>
        <w:t>, D.C.: National Academy Press.</w:t>
      </w:r>
    </w:p>
    <w:p w:rsidR="00F063C6" w:rsidRDefault="00F063C6" w:rsidP="00841252">
      <w:pPr>
        <w:spacing w:line="240" w:lineRule="auto"/>
        <w:ind w:left="720" w:hanging="720"/>
        <w:rPr>
          <w:rFonts w:cs="Times New Roman"/>
        </w:rPr>
      </w:pPr>
      <w:proofErr w:type="gramStart"/>
      <w:r w:rsidRPr="00F40195">
        <w:rPr>
          <w:rFonts w:cs="Times New Roman"/>
        </w:rPr>
        <w:t>Bui, S.A., Craig, S. G., Imberman, S. A. (2012).</w:t>
      </w:r>
      <w:proofErr w:type="gramEnd"/>
      <w:r w:rsidRPr="00F40195">
        <w:rPr>
          <w:rFonts w:cs="Times New Roman"/>
        </w:rPr>
        <w:t xml:space="preserve"> Is gifted education a bright idea? </w:t>
      </w:r>
      <w:proofErr w:type="gramStart"/>
      <w:r w:rsidRPr="00F40195">
        <w:rPr>
          <w:rFonts w:cs="Times New Roman"/>
        </w:rPr>
        <w:t>Assessing the impact of gifted and talented programs on students.</w:t>
      </w:r>
      <w:proofErr w:type="gramEnd"/>
      <w:r w:rsidRPr="00F40195">
        <w:rPr>
          <w:rFonts w:cs="Times New Roman"/>
        </w:rPr>
        <w:t xml:space="preserve"> </w:t>
      </w:r>
      <w:proofErr w:type="gramStart"/>
      <w:r w:rsidRPr="00F40195">
        <w:rPr>
          <w:rFonts w:cs="Times New Roman"/>
        </w:rPr>
        <w:t>Working Paper.</w:t>
      </w:r>
      <w:proofErr w:type="gramEnd"/>
      <w:r w:rsidRPr="00F40195">
        <w:rPr>
          <w:rFonts w:cs="Times New Roman"/>
        </w:rPr>
        <w:t xml:space="preserve"> Cambridge, MA: National Bureau of Economic Research. </w:t>
      </w:r>
    </w:p>
    <w:p w:rsidR="00107A4F" w:rsidRPr="00F40195" w:rsidRDefault="00107A4F" w:rsidP="00841252">
      <w:pPr>
        <w:spacing w:line="240" w:lineRule="auto"/>
        <w:ind w:left="720" w:hanging="720"/>
        <w:rPr>
          <w:rFonts w:cs="Times New Roman"/>
        </w:rPr>
      </w:pPr>
    </w:p>
    <w:p w:rsidR="00513C41" w:rsidRPr="00F40195" w:rsidRDefault="00513C41" w:rsidP="00841252">
      <w:pPr>
        <w:spacing w:line="240" w:lineRule="auto"/>
        <w:ind w:left="720" w:hanging="720"/>
        <w:rPr>
          <w:rFonts w:cs="Times New Roman"/>
        </w:rPr>
      </w:pPr>
      <w:proofErr w:type="gramStart"/>
      <w:r w:rsidRPr="00F40195">
        <w:rPr>
          <w:rFonts w:cs="Times New Roman"/>
        </w:rPr>
        <w:t>Camilli, Gregory, Vargas, Sadako, Ryan, Sharon, &amp; Barnett, W. Steven.</w:t>
      </w:r>
      <w:proofErr w:type="gramEnd"/>
      <w:r w:rsidRPr="00F40195">
        <w:rPr>
          <w:rFonts w:cs="Times New Roman"/>
        </w:rPr>
        <w:t xml:space="preserve"> </w:t>
      </w:r>
      <w:proofErr w:type="gramStart"/>
      <w:r w:rsidRPr="00F40195">
        <w:rPr>
          <w:rFonts w:cs="Times New Roman"/>
        </w:rPr>
        <w:t>(2010). Meta-analysis of the effects of early education interventions on cognitive and social development.</w:t>
      </w:r>
      <w:proofErr w:type="gramEnd"/>
      <w:r w:rsidRPr="00F40195">
        <w:rPr>
          <w:rFonts w:cs="Times New Roman"/>
        </w:rPr>
        <w:t xml:space="preserve"> </w:t>
      </w:r>
      <w:proofErr w:type="gramStart"/>
      <w:r w:rsidRPr="00F40195">
        <w:rPr>
          <w:rFonts w:cs="Times New Roman"/>
          <w:i/>
        </w:rPr>
        <w:t>Teachers college record, 112</w:t>
      </w:r>
      <w:r w:rsidRPr="00F40195">
        <w:rPr>
          <w:rFonts w:cs="Times New Roman"/>
        </w:rPr>
        <w:t>(3), 579-620.</w:t>
      </w:r>
      <w:proofErr w:type="gramEnd"/>
    </w:p>
    <w:p w:rsidR="00513C41" w:rsidRPr="00F40195" w:rsidRDefault="00513C41" w:rsidP="00841252">
      <w:pPr>
        <w:spacing w:line="240" w:lineRule="auto"/>
        <w:ind w:left="720" w:hanging="720"/>
        <w:rPr>
          <w:rFonts w:cs="Times New Roman"/>
        </w:rPr>
      </w:pPr>
      <w:r w:rsidRPr="00F40195">
        <w:rPr>
          <w:rFonts w:cs="Times New Roman"/>
        </w:rPr>
        <w:t>Capizzano, Jeffrey, Adelman, Sarah</w:t>
      </w:r>
      <w:proofErr w:type="gramStart"/>
      <w:r w:rsidRPr="00F40195">
        <w:rPr>
          <w:rFonts w:cs="Times New Roman"/>
        </w:rPr>
        <w:t>,  &amp;</w:t>
      </w:r>
      <w:proofErr w:type="gramEnd"/>
      <w:r w:rsidRPr="00F40195">
        <w:rPr>
          <w:rFonts w:cs="Times New Roman"/>
        </w:rPr>
        <w:t xml:space="preserve"> Stagner, Matthew. (2002). </w:t>
      </w:r>
      <w:proofErr w:type="gramStart"/>
      <w:r w:rsidRPr="00F40195">
        <w:rPr>
          <w:rFonts w:cs="Times New Roman"/>
          <w:i/>
        </w:rPr>
        <w:t>What</w:t>
      </w:r>
      <w:proofErr w:type="gramEnd"/>
      <w:r w:rsidRPr="00F40195">
        <w:rPr>
          <w:rFonts w:cs="Times New Roman"/>
          <w:i/>
        </w:rPr>
        <w:t xml:space="preserve"> happens when the school year is over? The use and costs of child care for school-age children during the summer months</w:t>
      </w:r>
      <w:r w:rsidRPr="00F40195">
        <w:rPr>
          <w:rFonts w:cs="Times New Roman"/>
        </w:rPr>
        <w:t xml:space="preserve">. </w:t>
      </w:r>
      <w:proofErr w:type="gramStart"/>
      <w:r w:rsidRPr="00F40195">
        <w:rPr>
          <w:rFonts w:cs="Times New Roman"/>
        </w:rPr>
        <w:t>(Assessing the New Federalism, Occasional Paper, No. 58).</w:t>
      </w:r>
      <w:proofErr w:type="gramEnd"/>
      <w:r w:rsidRPr="00F40195">
        <w:rPr>
          <w:rFonts w:cs="Times New Roman"/>
        </w:rPr>
        <w:t xml:space="preserve"> Washington, D.C.: Urban Institute. </w:t>
      </w:r>
    </w:p>
    <w:p w:rsidR="00513C41" w:rsidRPr="00F40195" w:rsidRDefault="00513C41" w:rsidP="00841252">
      <w:pPr>
        <w:spacing w:line="240" w:lineRule="auto"/>
        <w:ind w:left="720" w:hanging="720"/>
        <w:rPr>
          <w:rFonts w:cs="Times New Roman"/>
        </w:rPr>
      </w:pPr>
      <w:proofErr w:type="gramStart"/>
      <w:r w:rsidRPr="00F40195">
        <w:rPr>
          <w:rFonts w:cs="Times New Roman"/>
        </w:rPr>
        <w:t>Carlso</w:t>
      </w:r>
      <w:r w:rsidR="00107A4F">
        <w:rPr>
          <w:rFonts w:cs="Times New Roman"/>
        </w:rPr>
        <w:t xml:space="preserve">n, Deven, Borman, Geoffrey D., </w:t>
      </w:r>
      <w:r w:rsidRPr="00F40195">
        <w:rPr>
          <w:rFonts w:cs="Times New Roman"/>
        </w:rPr>
        <w:t>&amp; Robinson, Michelle.</w:t>
      </w:r>
      <w:proofErr w:type="gramEnd"/>
      <w:r w:rsidRPr="00F40195">
        <w:rPr>
          <w:rFonts w:cs="Times New Roman"/>
        </w:rPr>
        <w:t xml:space="preserve"> (2011). A multistate district-level cluster randomized trial of the impact of data-driven reform on reading and mathematics achievement. </w:t>
      </w:r>
      <w:r w:rsidRPr="00F40195">
        <w:rPr>
          <w:rFonts w:cs="Times New Roman"/>
          <w:i/>
        </w:rPr>
        <w:t>Educational Evaluation and Policy Analysis, 33</w:t>
      </w:r>
      <w:r w:rsidRPr="00F40195">
        <w:rPr>
          <w:rFonts w:cs="Times New Roman"/>
        </w:rPr>
        <w:t>(3), 378-398.</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Catterall, J. S., Chapleau, R., &amp; Iwanaga, J. (1999).</w:t>
      </w:r>
      <w:proofErr w:type="gramEnd"/>
      <w:r w:rsidRPr="00F40195">
        <w:rPr>
          <w:rFonts w:cs="Times New Roman"/>
        </w:rPr>
        <w:t xml:space="preserve"> Invilvement in the arts and human development: General involvement and intensive involvement in music and theater arts. In E. S. Fiske, Champions of change: The Impact of the arts on learning (pp. 1-18). Washington, D.C.: President's Committee on the Arts and the Humanities &amp; Arts Education Partnership.</w:t>
      </w:r>
    </w:p>
    <w:p w:rsidR="00513C41" w:rsidRPr="00F40195" w:rsidRDefault="00513C41" w:rsidP="00841252">
      <w:pPr>
        <w:spacing w:line="240" w:lineRule="auto"/>
        <w:ind w:left="720" w:hanging="720"/>
        <w:rPr>
          <w:rFonts w:cs="Times New Roman"/>
        </w:rPr>
      </w:pPr>
      <w:proofErr w:type="gramStart"/>
      <w:r w:rsidRPr="00F40195">
        <w:rPr>
          <w:rFonts w:cs="Times New Roman"/>
        </w:rPr>
        <w:lastRenderedPageBreak/>
        <w:t>Cavin, Edward, Murnane, Richard, &amp; Brown, Randall.</w:t>
      </w:r>
      <w:proofErr w:type="gramEnd"/>
      <w:r w:rsidRPr="00F40195">
        <w:rPr>
          <w:rFonts w:cs="Times New Roman"/>
        </w:rPr>
        <w:t xml:space="preserve"> (1985). School district response to enrollment changes: The direction of change matters. </w:t>
      </w:r>
      <w:r w:rsidRPr="00F40195">
        <w:rPr>
          <w:rFonts w:cs="Times New Roman"/>
          <w:i/>
        </w:rPr>
        <w:t>Journal of Education Finance, 10</w:t>
      </w:r>
      <w:r w:rsidRPr="00F40195">
        <w:rPr>
          <w:rFonts w:cs="Times New Roman"/>
        </w:rPr>
        <w:t>(4), 426</w:t>
      </w:r>
      <w:r w:rsidRPr="00F40195">
        <w:rPr>
          <w:rStyle w:val="FontStyle28"/>
          <w:rFonts w:ascii="Times New Roman" w:hAnsi="Times New Roman" w:cs="Times New Roman"/>
        </w:rPr>
        <w:t>–</w:t>
      </w:r>
      <w:r w:rsidRPr="00F40195">
        <w:rPr>
          <w:rFonts w:cs="Times New Roman"/>
        </w:rPr>
        <w:t>440.</w:t>
      </w:r>
    </w:p>
    <w:p w:rsidR="00513C41" w:rsidRPr="00F40195" w:rsidRDefault="00513C41" w:rsidP="00841252">
      <w:pPr>
        <w:spacing w:line="240" w:lineRule="auto"/>
        <w:ind w:left="720" w:hanging="720"/>
        <w:rPr>
          <w:rFonts w:cs="Times New Roman"/>
        </w:rPr>
      </w:pPr>
      <w:proofErr w:type="gramStart"/>
      <w:r w:rsidRPr="00F40195">
        <w:rPr>
          <w:rFonts w:cs="Times New Roman"/>
        </w:rPr>
        <w:t>Center on Education Compensation Reform</w:t>
      </w:r>
      <w:r w:rsidR="009739FE" w:rsidRPr="00F40195">
        <w:rPr>
          <w:rFonts w:cs="Times New Roman"/>
        </w:rPr>
        <w:t>.</w:t>
      </w:r>
      <w:proofErr w:type="gramEnd"/>
      <w:r w:rsidR="009739FE" w:rsidRPr="00F40195">
        <w:rPr>
          <w:rFonts w:cs="Times New Roman"/>
        </w:rPr>
        <w:t xml:space="preserve"> </w:t>
      </w:r>
      <w:proofErr w:type="gramStart"/>
      <w:r w:rsidRPr="00F40195">
        <w:rPr>
          <w:rFonts w:cs="Times New Roman"/>
        </w:rPr>
        <w:t>(2008)</w:t>
      </w:r>
      <w:r w:rsidR="009739FE" w:rsidRPr="00F40195">
        <w:rPr>
          <w:rFonts w:cs="Times New Roman"/>
        </w:rPr>
        <w:t xml:space="preserve">. </w:t>
      </w:r>
      <w:r w:rsidRPr="00F40195">
        <w:rPr>
          <w:rFonts w:cs="Times New Roman"/>
        </w:rPr>
        <w:t>School-Based Performance Pay in Georgia</w:t>
      </w:r>
      <w:r w:rsidR="009739FE" w:rsidRPr="00F40195">
        <w:rPr>
          <w:rFonts w:cs="Times New Roman"/>
        </w:rPr>
        <w:t>.</w:t>
      </w:r>
      <w:proofErr w:type="gramEnd"/>
      <w:r w:rsidR="009739FE" w:rsidRPr="00F40195">
        <w:rPr>
          <w:rFonts w:cs="Times New Roman"/>
        </w:rPr>
        <w:t xml:space="preserve"> </w:t>
      </w:r>
      <w:r w:rsidRPr="00F40195">
        <w:rPr>
          <w:rFonts w:cs="Times New Roman"/>
        </w:rPr>
        <w:t>Nashville, TN: Vanderbilt University, Peabody College of Education.</w:t>
      </w:r>
    </w:p>
    <w:p w:rsidR="00513C41" w:rsidRPr="00F40195" w:rsidRDefault="00513C41" w:rsidP="00841252">
      <w:pPr>
        <w:spacing w:line="240" w:lineRule="auto"/>
        <w:ind w:left="720" w:hanging="720"/>
        <w:rPr>
          <w:rFonts w:cs="Times New Roman"/>
        </w:rPr>
      </w:pPr>
      <w:proofErr w:type="gramStart"/>
      <w:r w:rsidRPr="00F40195">
        <w:rPr>
          <w:rFonts w:cs="Times New Roman"/>
        </w:rPr>
        <w:t>Center on Education Compensation Reform</w:t>
      </w:r>
      <w:r w:rsidR="009739FE" w:rsidRPr="00F40195">
        <w:rPr>
          <w:rFonts w:cs="Times New Roman"/>
        </w:rPr>
        <w:t>.</w:t>
      </w:r>
      <w:proofErr w:type="gramEnd"/>
      <w:r w:rsidR="009739FE" w:rsidRPr="00F40195">
        <w:rPr>
          <w:rFonts w:cs="Times New Roman"/>
        </w:rPr>
        <w:t xml:space="preserve"> </w:t>
      </w:r>
      <w:r w:rsidRPr="00F40195">
        <w:rPr>
          <w:rFonts w:cs="Times New Roman"/>
        </w:rPr>
        <w:t>(2008)</w:t>
      </w:r>
      <w:r w:rsidR="009739FE" w:rsidRPr="00F40195">
        <w:rPr>
          <w:rFonts w:cs="Times New Roman"/>
        </w:rPr>
        <w:t xml:space="preserve">. </w:t>
      </w:r>
      <w:r w:rsidRPr="00F40195">
        <w:rPr>
          <w:rFonts w:cs="Times New Roman"/>
        </w:rPr>
        <w:t>TAP: The System for Teacher and Student Advancement</w:t>
      </w:r>
      <w:r w:rsidR="009739FE" w:rsidRPr="00F40195">
        <w:rPr>
          <w:rFonts w:cs="Times New Roman"/>
        </w:rPr>
        <w:t xml:space="preserve">. </w:t>
      </w:r>
      <w:r w:rsidRPr="00F40195">
        <w:rPr>
          <w:rFonts w:cs="Times New Roman"/>
        </w:rPr>
        <w:t>Nashville, TN: Vanderbilt University, Peabody College of Education.</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Centers for Disease Control.</w:t>
      </w:r>
      <w:proofErr w:type="gramEnd"/>
      <w:r w:rsidRPr="00F40195">
        <w:rPr>
          <w:rFonts w:cs="Times New Roman"/>
        </w:rPr>
        <w:t xml:space="preserve"> </w:t>
      </w:r>
      <w:proofErr w:type="gramStart"/>
      <w:r w:rsidRPr="00F40195">
        <w:rPr>
          <w:rFonts w:cs="Times New Roman"/>
        </w:rPr>
        <w:t xml:space="preserve">(2010). The Association </w:t>
      </w:r>
      <w:r w:rsidR="007619E2" w:rsidRPr="00F40195">
        <w:rPr>
          <w:rFonts w:cs="Times New Roman"/>
        </w:rPr>
        <w:t xml:space="preserve">between </w:t>
      </w:r>
      <w:r w:rsidRPr="00F40195">
        <w:rPr>
          <w:rFonts w:cs="Times New Roman"/>
        </w:rPr>
        <w:t xml:space="preserve">school-based </w:t>
      </w:r>
      <w:r w:rsidR="007619E2" w:rsidRPr="00F40195">
        <w:rPr>
          <w:rFonts w:cs="Times New Roman"/>
        </w:rPr>
        <w:t>physical</w:t>
      </w:r>
      <w:r w:rsidRPr="00F40195">
        <w:rPr>
          <w:rFonts w:cs="Times New Roman"/>
        </w:rPr>
        <w:t xml:space="preserve"> activity, including physical education, on academic performance.</w:t>
      </w:r>
      <w:proofErr w:type="gramEnd"/>
      <w:r w:rsidRPr="00F40195">
        <w:rPr>
          <w:rFonts w:cs="Times New Roman"/>
        </w:rPr>
        <w:t xml:space="preserve"> Atlanta, GA: U.S. Department of Health and Human Services.</w:t>
      </w:r>
    </w:p>
    <w:p w:rsidR="00513C41" w:rsidRPr="00F40195" w:rsidRDefault="00513C41" w:rsidP="00841252">
      <w:pPr>
        <w:spacing w:line="240" w:lineRule="auto"/>
        <w:ind w:left="720" w:hanging="720"/>
        <w:rPr>
          <w:rFonts w:cs="Times New Roman"/>
        </w:rPr>
      </w:pPr>
      <w:r w:rsidRPr="00F40195">
        <w:rPr>
          <w:rFonts w:cs="Times New Roman"/>
        </w:rPr>
        <w:t xml:space="preserve">Chambers, Jay G. (1980). </w:t>
      </w:r>
      <w:proofErr w:type="gramStart"/>
      <w:r w:rsidRPr="00F40195">
        <w:rPr>
          <w:rFonts w:cs="Times New Roman"/>
          <w:i/>
        </w:rPr>
        <w:t>The development of a cost of education index for the State of California final reports, Parts 1 and 2</w:t>
      </w:r>
      <w:r w:rsidRPr="00F40195">
        <w:rPr>
          <w:rFonts w:cs="Times New Roman"/>
        </w:rPr>
        <w:t>.</w:t>
      </w:r>
      <w:proofErr w:type="gramEnd"/>
      <w:r w:rsidRPr="00F40195">
        <w:rPr>
          <w:rFonts w:cs="Times New Roman"/>
        </w:rPr>
        <w:t xml:space="preserve"> </w:t>
      </w:r>
      <w:proofErr w:type="gramStart"/>
      <w:r w:rsidRPr="00F40195">
        <w:rPr>
          <w:rFonts w:cs="Times New Roman"/>
        </w:rPr>
        <w:t>Prepared for the California State Department of Education.</w:t>
      </w:r>
      <w:proofErr w:type="gramEnd"/>
    </w:p>
    <w:p w:rsidR="00513C41" w:rsidRPr="00F40195" w:rsidRDefault="00513C41" w:rsidP="00841252">
      <w:pPr>
        <w:spacing w:line="240" w:lineRule="auto"/>
        <w:ind w:left="720" w:hanging="720"/>
        <w:rPr>
          <w:rFonts w:cs="Times New Roman"/>
        </w:rPr>
      </w:pPr>
      <w:r w:rsidRPr="00F40195">
        <w:rPr>
          <w:rFonts w:cs="Times New Roman"/>
        </w:rPr>
        <w:t xml:space="preserve">Chambers, Jay G. (1981). Cost and price level adjustments to state aid for education: A theoretical and empirical view. In K. Forbis Jordan &amp; Nelda Cambron-McCabe (Eds.), </w:t>
      </w:r>
      <w:r w:rsidRPr="00F40195">
        <w:rPr>
          <w:rFonts w:cs="Times New Roman"/>
          <w:i/>
        </w:rPr>
        <w:t>Perspectives in state school support programs</w:t>
      </w:r>
      <w:r w:rsidRPr="00F40195">
        <w:rPr>
          <w:rFonts w:cs="Times New Roman"/>
        </w:rPr>
        <w:t>. Cambridge, MA: Ballinger.</w:t>
      </w:r>
    </w:p>
    <w:p w:rsidR="00513C41" w:rsidRPr="00F40195" w:rsidRDefault="00513C41" w:rsidP="00841252">
      <w:pPr>
        <w:spacing w:line="240" w:lineRule="auto"/>
        <w:ind w:left="720" w:hanging="720"/>
        <w:rPr>
          <w:rFonts w:cs="Times New Roman"/>
        </w:rPr>
      </w:pPr>
      <w:r w:rsidRPr="00F40195">
        <w:rPr>
          <w:rFonts w:cs="Times New Roman"/>
        </w:rPr>
        <w:t xml:space="preserve">Chambers, Jay G. (1995). Public school teacher cost differences across the United States: Introduction to a Teacher Cost Index (TCI). </w:t>
      </w:r>
      <w:proofErr w:type="gramStart"/>
      <w:r w:rsidRPr="00F40195">
        <w:rPr>
          <w:rFonts w:cs="Times New Roman"/>
        </w:rPr>
        <w:t xml:space="preserve">In </w:t>
      </w:r>
      <w:r w:rsidRPr="00F40195">
        <w:rPr>
          <w:rFonts w:cs="Times New Roman"/>
          <w:i/>
        </w:rPr>
        <w:t>Developments in School Finance</w:t>
      </w:r>
      <w:r w:rsidRPr="00F40195">
        <w:rPr>
          <w:rFonts w:cs="Times New Roman"/>
        </w:rPr>
        <w:t>.</w:t>
      </w:r>
      <w:proofErr w:type="gramEnd"/>
      <w:r w:rsidRPr="00F40195">
        <w:rPr>
          <w:rFonts w:cs="Times New Roman"/>
        </w:rPr>
        <w:t xml:space="preserve"> Available online: </w:t>
      </w:r>
      <w:hyperlink r:id="rId42" w:history="1">
        <w:r w:rsidRPr="00F40195">
          <w:rPr>
            <w:rStyle w:val="Hyperlink"/>
            <w:rFonts w:cs="Times New Roman"/>
          </w:rPr>
          <w:t>www.ed.gov/NCES/pubs/96344cha.html</w:t>
        </w:r>
      </w:hyperlink>
      <w:r w:rsidRPr="00F40195">
        <w:rPr>
          <w:rFonts w:cs="Times New Roman"/>
        </w:rPr>
        <w:t>.</w:t>
      </w:r>
    </w:p>
    <w:p w:rsidR="00513C41" w:rsidRPr="00F40195" w:rsidRDefault="00513C41" w:rsidP="00841252">
      <w:pPr>
        <w:spacing w:line="240" w:lineRule="auto"/>
        <w:ind w:left="720" w:hanging="720"/>
        <w:rPr>
          <w:rFonts w:cs="Times New Roman"/>
        </w:rPr>
      </w:pPr>
      <w:r w:rsidRPr="00F40195">
        <w:rPr>
          <w:rFonts w:cs="Times New Roman"/>
        </w:rPr>
        <w:t xml:space="preserve">Chambers, Jay G., Odden, Allan, &amp; Vincent, Phillip E. (1976). </w:t>
      </w:r>
      <w:r w:rsidRPr="00F40195">
        <w:rPr>
          <w:rFonts w:cs="Times New Roman"/>
          <w:i/>
        </w:rPr>
        <w:t>Cost of education indices among school districts</w:t>
      </w:r>
      <w:r w:rsidRPr="00F40195">
        <w:rPr>
          <w:rFonts w:cs="Times New Roman"/>
        </w:rPr>
        <w:t>. Denver: Education Commission of the States.</w:t>
      </w:r>
    </w:p>
    <w:p w:rsidR="00513C41" w:rsidRPr="00F40195" w:rsidRDefault="00513C41" w:rsidP="00841252">
      <w:pPr>
        <w:spacing w:line="240" w:lineRule="auto"/>
        <w:ind w:left="720" w:hanging="720"/>
        <w:rPr>
          <w:rFonts w:cs="Times New Roman"/>
        </w:rPr>
      </w:pPr>
      <w:proofErr w:type="gramStart"/>
      <w:r w:rsidRPr="00F40195">
        <w:rPr>
          <w:rFonts w:cs="Times New Roman"/>
        </w:rPr>
        <w:t>Chenoweth, Karen, &amp; Theokas, Christina.</w:t>
      </w:r>
      <w:proofErr w:type="gramEnd"/>
      <w:r w:rsidRPr="00F40195">
        <w:rPr>
          <w:rFonts w:cs="Times New Roman"/>
        </w:rPr>
        <w:t xml:space="preserve"> (2011). </w:t>
      </w:r>
      <w:proofErr w:type="gramStart"/>
      <w:r w:rsidRPr="00F40195">
        <w:rPr>
          <w:rFonts w:cs="Times New Roman"/>
          <w:i/>
        </w:rPr>
        <w:t>Getting</w:t>
      </w:r>
      <w:proofErr w:type="gramEnd"/>
      <w:r w:rsidRPr="00F40195">
        <w:rPr>
          <w:rFonts w:cs="Times New Roman"/>
          <w:i/>
        </w:rPr>
        <w:t xml:space="preserve"> it done: Leading academic success in unexpected schools</w:t>
      </w:r>
      <w:r w:rsidRPr="00F40195">
        <w:rPr>
          <w:rFonts w:cs="Times New Roman"/>
        </w:rPr>
        <w:t>. Cambridge, MA: Harvard Education Press.</w:t>
      </w:r>
    </w:p>
    <w:p w:rsidR="00513C41" w:rsidRPr="00F40195" w:rsidRDefault="00513C41" w:rsidP="00841252">
      <w:pPr>
        <w:spacing w:line="240" w:lineRule="auto"/>
        <w:ind w:left="720" w:hanging="720"/>
        <w:rPr>
          <w:rFonts w:cs="Times New Roman"/>
        </w:rPr>
      </w:pPr>
      <w:r w:rsidRPr="00F40195">
        <w:rPr>
          <w:rFonts w:cs="Times New Roman"/>
        </w:rPr>
        <w:t xml:space="preserve">Chenoweth, Karen. (2007). </w:t>
      </w:r>
      <w:proofErr w:type="gramStart"/>
      <w:r w:rsidRPr="00F40195">
        <w:rPr>
          <w:rStyle w:val="Emphasis"/>
          <w:rFonts w:cs="Times New Roman"/>
        </w:rPr>
        <w:t>It’s</w:t>
      </w:r>
      <w:proofErr w:type="gramEnd"/>
      <w:r w:rsidRPr="00F40195">
        <w:rPr>
          <w:rStyle w:val="Emphasis"/>
          <w:rFonts w:cs="Times New Roman"/>
        </w:rPr>
        <w:t xml:space="preserve"> being done: Academic success in unexpected schools.</w:t>
      </w:r>
      <w:r w:rsidRPr="00F40195">
        <w:rPr>
          <w:rFonts w:cs="Times New Roman"/>
        </w:rPr>
        <w:t xml:space="preserve"> Cambridge, MA: Harvard Education Press.</w:t>
      </w:r>
    </w:p>
    <w:p w:rsidR="00513C41" w:rsidRPr="00F40195" w:rsidRDefault="00513C41" w:rsidP="00841252">
      <w:pPr>
        <w:spacing w:line="240" w:lineRule="auto"/>
        <w:ind w:left="720" w:hanging="720"/>
        <w:rPr>
          <w:rFonts w:cs="Times New Roman"/>
        </w:rPr>
      </w:pPr>
      <w:r w:rsidRPr="00F40195">
        <w:rPr>
          <w:rFonts w:cs="Times New Roman"/>
        </w:rPr>
        <w:t xml:space="preserve">Chenoweth, Karen. (2009). </w:t>
      </w:r>
      <w:proofErr w:type="gramStart"/>
      <w:r w:rsidRPr="00F40195">
        <w:rPr>
          <w:rStyle w:val="Emphasis"/>
          <w:rFonts w:cs="Times New Roman"/>
        </w:rPr>
        <w:t>How</w:t>
      </w:r>
      <w:proofErr w:type="gramEnd"/>
      <w:r w:rsidRPr="00F40195">
        <w:rPr>
          <w:rStyle w:val="Emphasis"/>
          <w:rFonts w:cs="Times New Roman"/>
        </w:rPr>
        <w:t xml:space="preserve"> it’s being done: Urgent lessons from unexpected schools. </w:t>
      </w:r>
      <w:r w:rsidRPr="00F40195">
        <w:rPr>
          <w:rFonts w:cs="Times New Roman"/>
        </w:rPr>
        <w:t>Cambridge, MA: Harvard Education Press.</w:t>
      </w:r>
    </w:p>
    <w:p w:rsidR="00513C41" w:rsidRPr="00F40195" w:rsidRDefault="00513C41" w:rsidP="00841252">
      <w:pPr>
        <w:spacing w:line="240" w:lineRule="auto"/>
        <w:ind w:left="720" w:hanging="720"/>
        <w:rPr>
          <w:rFonts w:cs="Times New Roman"/>
        </w:rPr>
      </w:pPr>
      <w:r w:rsidRPr="00F40195">
        <w:rPr>
          <w:rFonts w:cs="Times New Roman"/>
        </w:rPr>
        <w:t xml:space="preserve">Clark, Kevin. (2009). </w:t>
      </w:r>
      <w:proofErr w:type="gramStart"/>
      <w:r w:rsidRPr="00F40195">
        <w:rPr>
          <w:rFonts w:cs="Times New Roman"/>
        </w:rPr>
        <w:t>The</w:t>
      </w:r>
      <w:proofErr w:type="gramEnd"/>
      <w:r w:rsidRPr="00F40195">
        <w:rPr>
          <w:rFonts w:cs="Times New Roman"/>
        </w:rPr>
        <w:t xml:space="preserve"> case for structured English immersion</w:t>
      </w:r>
      <w:r w:rsidRPr="00F40195">
        <w:rPr>
          <w:rFonts w:cs="Times New Roman"/>
          <w:i/>
        </w:rPr>
        <w:t>. Educational Leadership, 66</w:t>
      </w:r>
      <w:r w:rsidRPr="00F40195">
        <w:rPr>
          <w:rFonts w:cs="Times New Roman"/>
        </w:rPr>
        <w:t>(7), 42</w:t>
      </w:r>
      <w:r w:rsidRPr="00F40195">
        <w:rPr>
          <w:rStyle w:val="FontStyle28"/>
          <w:rFonts w:ascii="Times New Roman" w:hAnsi="Times New Roman" w:cs="Times New Roman"/>
        </w:rPr>
        <w:t>–</w:t>
      </w:r>
      <w:r w:rsidRPr="00F40195">
        <w:rPr>
          <w:rFonts w:cs="Times New Roman"/>
        </w:rPr>
        <w:t>46.</w:t>
      </w:r>
    </w:p>
    <w:p w:rsidR="00513C41" w:rsidRPr="00F40195" w:rsidRDefault="00513C41" w:rsidP="00841252">
      <w:pPr>
        <w:spacing w:line="240" w:lineRule="auto"/>
        <w:ind w:left="720" w:hanging="720"/>
        <w:rPr>
          <w:rFonts w:cs="Times New Roman"/>
        </w:rPr>
      </w:pPr>
      <w:proofErr w:type="gramStart"/>
      <w:r w:rsidRPr="00F40195">
        <w:rPr>
          <w:rFonts w:cs="Times New Roman"/>
        </w:rPr>
        <w:t>Clotfelter, C. T., Ladd, H. F., &amp; Vigdor, J. L. (2011).</w:t>
      </w:r>
      <w:proofErr w:type="gramEnd"/>
      <w:r w:rsidRPr="00F40195">
        <w:rPr>
          <w:rFonts w:cs="Times New Roman"/>
        </w:rPr>
        <w:t xml:space="preserve"> </w:t>
      </w:r>
      <w:proofErr w:type="gramStart"/>
      <w:r w:rsidRPr="00F40195">
        <w:rPr>
          <w:rFonts w:cs="Times New Roman"/>
        </w:rPr>
        <w:t>Teacher Mobility, School Segregation, and Pay-Based Policies to Level the Playing Field.</w:t>
      </w:r>
      <w:proofErr w:type="gramEnd"/>
      <w:r w:rsidRPr="00F40195">
        <w:rPr>
          <w:rFonts w:cs="Times New Roman"/>
        </w:rPr>
        <w:t xml:space="preserve"> Education Finance </w:t>
      </w:r>
      <w:proofErr w:type="gramStart"/>
      <w:r w:rsidRPr="00F40195">
        <w:rPr>
          <w:rFonts w:cs="Times New Roman"/>
        </w:rPr>
        <w:t>And</w:t>
      </w:r>
      <w:proofErr w:type="gramEnd"/>
      <w:r w:rsidRPr="00F40195">
        <w:rPr>
          <w:rFonts w:cs="Times New Roman"/>
        </w:rPr>
        <w:t xml:space="preserve"> Policy, 6(3), 399-438. </w:t>
      </w:r>
    </w:p>
    <w:p w:rsidR="00513C41" w:rsidRPr="00F40195" w:rsidRDefault="00513C41" w:rsidP="00841252">
      <w:pPr>
        <w:spacing w:line="240" w:lineRule="auto"/>
        <w:ind w:left="720" w:hanging="720"/>
        <w:rPr>
          <w:rFonts w:cs="Times New Roman"/>
        </w:rPr>
      </w:pPr>
      <w:proofErr w:type="gramStart"/>
      <w:r w:rsidRPr="00F40195">
        <w:rPr>
          <w:rFonts w:cs="Times New Roman"/>
        </w:rPr>
        <w:t>Clotfelter, Charles, Elizabeth Glennie, Helen Ladd &amp; Jacob Vigdor</w:t>
      </w:r>
      <w:r w:rsidR="009739FE" w:rsidRPr="00F40195">
        <w:rPr>
          <w:rFonts w:cs="Times New Roman"/>
        </w:rPr>
        <w:t>.</w:t>
      </w:r>
      <w:proofErr w:type="gramEnd"/>
      <w:r w:rsidR="009739FE" w:rsidRPr="00F40195">
        <w:rPr>
          <w:rFonts w:cs="Times New Roman"/>
        </w:rPr>
        <w:t xml:space="preserve"> </w:t>
      </w:r>
      <w:proofErr w:type="gramStart"/>
      <w:r w:rsidRPr="00F40195">
        <w:rPr>
          <w:rFonts w:cs="Times New Roman"/>
        </w:rPr>
        <w:t>(2005)</w:t>
      </w:r>
      <w:r w:rsidR="009739FE" w:rsidRPr="00F40195">
        <w:rPr>
          <w:rFonts w:cs="Times New Roman"/>
        </w:rPr>
        <w:t xml:space="preserve">. </w:t>
      </w:r>
      <w:r w:rsidRPr="00F40195">
        <w:rPr>
          <w:rFonts w:cs="Times New Roman"/>
        </w:rPr>
        <w:t>North Carolina Math/Science/Special Education (MSSE) $1,800 Teacher Bonus Program: An Initial Evaluation</w:t>
      </w:r>
      <w:r w:rsidR="009739FE" w:rsidRPr="00F40195">
        <w:rPr>
          <w:rFonts w:cs="Times New Roman"/>
        </w:rPr>
        <w:t>.</w:t>
      </w:r>
      <w:proofErr w:type="gramEnd"/>
      <w:r w:rsidR="009739FE" w:rsidRPr="00F40195">
        <w:rPr>
          <w:rFonts w:cs="Times New Roman"/>
        </w:rPr>
        <w:t xml:space="preserve"> </w:t>
      </w:r>
      <w:r w:rsidRPr="00F40195">
        <w:rPr>
          <w:rFonts w:cs="Times New Roman"/>
        </w:rPr>
        <w:t>Chapel Hill: Center for Child and Family Policy, Duke University.</w:t>
      </w:r>
    </w:p>
    <w:p w:rsidR="00513C41" w:rsidRPr="00F40195" w:rsidRDefault="00513C41" w:rsidP="00841252">
      <w:pPr>
        <w:spacing w:line="240" w:lineRule="auto"/>
        <w:ind w:left="720" w:hanging="720"/>
        <w:rPr>
          <w:rFonts w:cs="Times New Roman"/>
        </w:rPr>
      </w:pPr>
      <w:r w:rsidRPr="00F40195">
        <w:rPr>
          <w:rFonts w:cs="Times New Roman"/>
        </w:rPr>
        <w:t xml:space="preserve">Coeyman, Marjorie. (November 24, 1998). Small-town schools: Changing times and budgets put the squeeze on. </w:t>
      </w:r>
      <w:proofErr w:type="gramStart"/>
      <w:r w:rsidRPr="00F40195">
        <w:rPr>
          <w:rFonts w:cs="Times New Roman"/>
          <w:i/>
        </w:rPr>
        <w:t>Christian Science Monitor, 90</w:t>
      </w:r>
      <w:r w:rsidRPr="00F40195">
        <w:rPr>
          <w:rFonts w:cs="Times New Roman"/>
        </w:rPr>
        <w:t>(252), 15.</w:t>
      </w:r>
      <w:proofErr w:type="gramEnd"/>
    </w:p>
    <w:p w:rsidR="00513C41" w:rsidRPr="00F40195" w:rsidRDefault="00513C41" w:rsidP="00841252">
      <w:pPr>
        <w:spacing w:line="240" w:lineRule="auto"/>
        <w:ind w:left="720" w:hanging="720"/>
        <w:rPr>
          <w:rFonts w:cs="Times New Roman"/>
        </w:rPr>
      </w:pPr>
      <w:r w:rsidRPr="00F40195">
        <w:rPr>
          <w:rFonts w:cs="Times New Roman"/>
        </w:rPr>
        <w:t>Cohen, Peter</w:t>
      </w:r>
      <w:proofErr w:type="gramStart"/>
      <w:r w:rsidRPr="00F40195">
        <w:rPr>
          <w:rFonts w:cs="Times New Roman"/>
        </w:rPr>
        <w:t>,,</w:t>
      </w:r>
      <w:proofErr w:type="gramEnd"/>
      <w:r w:rsidRPr="00F40195">
        <w:rPr>
          <w:rFonts w:cs="Times New Roman"/>
        </w:rPr>
        <w:t xml:space="preserve"> Kulik, James, &amp; Kulik, Chen-Lin. (1982). Educational outcomes of tutoring: A meta-analysis of findings. </w:t>
      </w:r>
      <w:r w:rsidRPr="00F40195">
        <w:rPr>
          <w:rFonts w:cs="Times New Roman"/>
          <w:i/>
        </w:rPr>
        <w:t>American Educational Research Journal, 19</w:t>
      </w:r>
      <w:r w:rsidRPr="00F40195">
        <w:rPr>
          <w:rFonts w:cs="Times New Roman"/>
        </w:rPr>
        <w:t>(2), 237</w:t>
      </w:r>
      <w:r w:rsidRPr="00F40195">
        <w:rPr>
          <w:rStyle w:val="FontStyle28"/>
          <w:rFonts w:ascii="Times New Roman" w:hAnsi="Times New Roman" w:cs="Times New Roman"/>
        </w:rPr>
        <w:t>–</w:t>
      </w:r>
      <w:r w:rsidRPr="00F40195">
        <w:rPr>
          <w:rFonts w:cs="Times New Roman"/>
        </w:rPr>
        <w:t>248.</w:t>
      </w:r>
    </w:p>
    <w:p w:rsidR="00513C41" w:rsidRPr="00F40195" w:rsidRDefault="00513C41" w:rsidP="00841252">
      <w:pPr>
        <w:spacing w:line="240" w:lineRule="auto"/>
        <w:ind w:left="720" w:hanging="720"/>
        <w:rPr>
          <w:rFonts w:cs="Times New Roman"/>
        </w:rPr>
      </w:pPr>
      <w:proofErr w:type="gramStart"/>
      <w:r w:rsidRPr="00F40195">
        <w:rPr>
          <w:rFonts w:cs="Times New Roman"/>
        </w:rPr>
        <w:t>Committee on Increasing High School Students’ Engagement and Motivation to Learn.</w:t>
      </w:r>
      <w:proofErr w:type="gramEnd"/>
      <w:r w:rsidRPr="00F40195">
        <w:rPr>
          <w:rFonts w:cs="Times New Roman"/>
        </w:rPr>
        <w:t xml:space="preserve"> (2004). </w:t>
      </w:r>
      <w:r w:rsidRPr="00F40195">
        <w:rPr>
          <w:rFonts w:cs="Times New Roman"/>
          <w:i/>
        </w:rPr>
        <w:t>Engaging schools: Fostering high school students’ motivation to learn</w:t>
      </w:r>
      <w:r w:rsidRPr="00F40195">
        <w:rPr>
          <w:rFonts w:cs="Times New Roman"/>
        </w:rPr>
        <w:t>. Washington, DC: National Academies Press.</w:t>
      </w:r>
    </w:p>
    <w:p w:rsidR="00931C61" w:rsidRPr="00F40195" w:rsidRDefault="00931C61" w:rsidP="00841252">
      <w:pPr>
        <w:spacing w:line="240" w:lineRule="auto"/>
        <w:ind w:left="720" w:hanging="720"/>
        <w:rPr>
          <w:rFonts w:cs="Times New Roman"/>
        </w:rPr>
      </w:pPr>
      <w:proofErr w:type="gramStart"/>
      <w:r w:rsidRPr="00F40195">
        <w:rPr>
          <w:rFonts w:cs="Times New Roman"/>
        </w:rPr>
        <w:t>Cook, P.J., Dogde, K., Farkas, G., Fryer, Jr., R.G., Guryan, J, Ludwig, J. Mayer, S., Pollack, H., &amp; Steinber, L. (2014).</w:t>
      </w:r>
      <w:proofErr w:type="gramEnd"/>
      <w:r w:rsidRPr="00F40195">
        <w:rPr>
          <w:rFonts w:cs="Times New Roman"/>
        </w:rPr>
        <w:t xml:space="preserve"> The (surprising) efficacy of academics and behavioral intervention </w:t>
      </w:r>
      <w:r w:rsidRPr="00F40195">
        <w:rPr>
          <w:rFonts w:cs="Times New Roman"/>
        </w:rPr>
        <w:lastRenderedPageBreak/>
        <w:t xml:space="preserve">with disadvantaged youth: Results from a randomized experiment in Chicago. </w:t>
      </w:r>
      <w:proofErr w:type="gramStart"/>
      <w:r w:rsidRPr="00F40195">
        <w:rPr>
          <w:rFonts w:cs="Times New Roman"/>
        </w:rPr>
        <w:t>NBER Working Paper Series (Working Paper 19862).</w:t>
      </w:r>
      <w:proofErr w:type="gramEnd"/>
      <w:r w:rsidRPr="00F40195">
        <w:rPr>
          <w:rFonts w:cs="Times New Roman"/>
        </w:rPr>
        <w:t xml:space="preserve"> Cambridge, MA: National Bureau of Economic Research.</w:t>
      </w:r>
    </w:p>
    <w:p w:rsidR="00513C41" w:rsidRPr="00F40195" w:rsidRDefault="00513C41" w:rsidP="00841252">
      <w:pPr>
        <w:spacing w:line="240" w:lineRule="auto"/>
        <w:ind w:left="720" w:hanging="720"/>
        <w:rPr>
          <w:rFonts w:cs="Times New Roman"/>
        </w:rPr>
      </w:pPr>
      <w:proofErr w:type="gramStart"/>
      <w:r w:rsidRPr="00F40195">
        <w:rPr>
          <w:rFonts w:cs="Times New Roman"/>
        </w:rPr>
        <w:t>Cooper, Harris, Batts-Allen, Ashley, Patall, Erika A., &amp; Dent, Any L. (2010).</w:t>
      </w:r>
      <w:proofErr w:type="gramEnd"/>
      <w:r w:rsidRPr="00F40195">
        <w:rPr>
          <w:rFonts w:cs="Times New Roman"/>
        </w:rPr>
        <w:t xml:space="preserve"> </w:t>
      </w:r>
      <w:proofErr w:type="gramStart"/>
      <w:r w:rsidRPr="00F40195">
        <w:rPr>
          <w:rFonts w:cs="Times New Roman"/>
        </w:rPr>
        <w:t>Effects of full-day kindergarten on academic achievement and social development.</w:t>
      </w:r>
      <w:proofErr w:type="gramEnd"/>
      <w:r w:rsidRPr="00F40195">
        <w:rPr>
          <w:rFonts w:cs="Times New Roman"/>
        </w:rPr>
        <w:t xml:space="preserve"> </w:t>
      </w:r>
      <w:r w:rsidRPr="00F40195">
        <w:rPr>
          <w:rFonts w:cs="Times New Roman"/>
          <w:i/>
        </w:rPr>
        <w:t>Review of Educational Research, 80</w:t>
      </w:r>
      <w:r w:rsidRPr="00F40195">
        <w:rPr>
          <w:rFonts w:cs="Times New Roman"/>
        </w:rPr>
        <w:t>(1), 34-70.</w:t>
      </w:r>
    </w:p>
    <w:p w:rsidR="00513C41" w:rsidRPr="00F40195" w:rsidRDefault="00513C41" w:rsidP="00841252">
      <w:pPr>
        <w:spacing w:line="240" w:lineRule="auto"/>
        <w:ind w:left="720" w:hanging="720"/>
        <w:rPr>
          <w:rFonts w:cs="Times New Roman"/>
        </w:rPr>
      </w:pPr>
      <w:proofErr w:type="gramStart"/>
      <w:r w:rsidRPr="00F40195">
        <w:rPr>
          <w:rFonts w:cs="Times New Roman"/>
        </w:rPr>
        <w:t>Cooper, Harris, Charlton, Kelly, Valentine, Jeff C., &amp; Muhlenbruck, Laura.</w:t>
      </w:r>
      <w:proofErr w:type="gramEnd"/>
      <w:r w:rsidRPr="00F40195">
        <w:rPr>
          <w:rFonts w:cs="Times New Roman"/>
        </w:rPr>
        <w:t xml:space="preserve"> (2000). </w:t>
      </w:r>
      <w:proofErr w:type="gramStart"/>
      <w:r w:rsidRPr="00F40195">
        <w:rPr>
          <w:rFonts w:cs="Times New Roman"/>
        </w:rPr>
        <w:t>Making</w:t>
      </w:r>
      <w:proofErr w:type="gramEnd"/>
      <w:r w:rsidRPr="00F40195">
        <w:rPr>
          <w:rFonts w:cs="Times New Roman"/>
        </w:rPr>
        <w:t xml:space="preserve"> the most of summer school: A meta-analytic and narrative review. </w:t>
      </w:r>
      <w:proofErr w:type="gramStart"/>
      <w:r w:rsidRPr="00F40195">
        <w:rPr>
          <w:rFonts w:cs="Times New Roman"/>
          <w:i/>
        </w:rPr>
        <w:t xml:space="preserve">Monographs of the Society for Research in Child Development, 65 </w:t>
      </w:r>
      <w:r w:rsidRPr="00F40195">
        <w:rPr>
          <w:rFonts w:cs="Times New Roman"/>
        </w:rPr>
        <w:t>(1, Serial No. 260).</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Cooper, Harris, Nye, Barbara, Charlton, Kelly, Lindsay, James, &amp; Greathouse, Scott.</w:t>
      </w:r>
      <w:proofErr w:type="gramEnd"/>
      <w:r w:rsidRPr="00F40195">
        <w:rPr>
          <w:rFonts w:cs="Times New Roman"/>
        </w:rPr>
        <w:t xml:space="preserve"> (1996). </w:t>
      </w:r>
      <w:proofErr w:type="gramStart"/>
      <w:r w:rsidRPr="00F40195">
        <w:rPr>
          <w:rFonts w:cs="Times New Roman"/>
        </w:rPr>
        <w:t>The</w:t>
      </w:r>
      <w:proofErr w:type="gramEnd"/>
      <w:r w:rsidRPr="00F40195">
        <w:rPr>
          <w:rFonts w:cs="Times New Roman"/>
        </w:rPr>
        <w:t xml:space="preserve"> effects of summer vacation on achievement test scores: A narrative and meta-analytic review. </w:t>
      </w:r>
      <w:r w:rsidRPr="00F40195">
        <w:rPr>
          <w:rFonts w:cs="Times New Roman"/>
          <w:i/>
        </w:rPr>
        <w:t>Review of Educational Research, 66,</w:t>
      </w:r>
      <w:r w:rsidRPr="00F40195">
        <w:rPr>
          <w:rFonts w:cs="Times New Roman"/>
        </w:rPr>
        <w:t xml:space="preserve"> 227</w:t>
      </w:r>
      <w:r w:rsidRPr="00F40195">
        <w:rPr>
          <w:rStyle w:val="FontStyle28"/>
          <w:rFonts w:ascii="Times New Roman" w:hAnsi="Times New Roman" w:cs="Times New Roman"/>
        </w:rPr>
        <w:t>–</w:t>
      </w:r>
      <w:r w:rsidRPr="00F40195">
        <w:rPr>
          <w:rFonts w:cs="Times New Roman"/>
        </w:rPr>
        <w:t>268.</w:t>
      </w:r>
    </w:p>
    <w:p w:rsidR="00513C41" w:rsidRPr="00F40195" w:rsidRDefault="00513C41" w:rsidP="00841252">
      <w:pPr>
        <w:spacing w:line="240" w:lineRule="auto"/>
        <w:ind w:left="720" w:hanging="720"/>
        <w:rPr>
          <w:rFonts w:cs="Times New Roman"/>
        </w:rPr>
      </w:pPr>
      <w:proofErr w:type="gramStart"/>
      <w:r w:rsidRPr="00F40195">
        <w:rPr>
          <w:rFonts w:cs="Times New Roman"/>
        </w:rPr>
        <w:t>Cooper, Harris, Robinson, Jorgianne Civey, &amp; Patall, Erika.</w:t>
      </w:r>
      <w:proofErr w:type="gramEnd"/>
      <w:r w:rsidRPr="00F40195">
        <w:rPr>
          <w:rFonts w:cs="Times New Roman"/>
        </w:rPr>
        <w:t xml:space="preserve"> (2006). Does homework improve academic achievement? </w:t>
      </w:r>
      <w:proofErr w:type="gramStart"/>
      <w:r w:rsidRPr="00F40195">
        <w:rPr>
          <w:rFonts w:cs="Times New Roman"/>
        </w:rPr>
        <w:t>A synthesis of research, 1987-2003.</w:t>
      </w:r>
      <w:proofErr w:type="gramEnd"/>
      <w:r w:rsidRPr="00F40195">
        <w:rPr>
          <w:rFonts w:cs="Times New Roman"/>
        </w:rPr>
        <w:t xml:space="preserve"> </w:t>
      </w:r>
      <w:r w:rsidRPr="00F40195">
        <w:rPr>
          <w:rFonts w:cs="Times New Roman"/>
          <w:i/>
        </w:rPr>
        <w:t>Review of Educational Research, 76</w:t>
      </w:r>
      <w:r w:rsidRPr="00F40195">
        <w:rPr>
          <w:rFonts w:cs="Times New Roman"/>
        </w:rPr>
        <w:t>(1), 1-62.</w:t>
      </w:r>
    </w:p>
    <w:p w:rsidR="00513C41" w:rsidRPr="00F40195" w:rsidRDefault="00513C41" w:rsidP="00841252">
      <w:pPr>
        <w:spacing w:line="240" w:lineRule="auto"/>
        <w:ind w:left="720" w:hanging="720"/>
        <w:rPr>
          <w:rFonts w:cs="Times New Roman"/>
        </w:rPr>
      </w:pPr>
      <w:r w:rsidRPr="00F40195">
        <w:rPr>
          <w:rFonts w:cs="Times New Roman"/>
        </w:rPr>
        <w:t xml:space="preserve">Crow, Tracy, (Ed.) (2011). </w:t>
      </w:r>
      <w:proofErr w:type="gramStart"/>
      <w:r w:rsidRPr="00F40195">
        <w:rPr>
          <w:rFonts w:cs="Times New Roman"/>
        </w:rPr>
        <w:t>Standards for professional learning.</w:t>
      </w:r>
      <w:proofErr w:type="gramEnd"/>
      <w:r w:rsidRPr="00F40195">
        <w:rPr>
          <w:rFonts w:cs="Times New Roman"/>
        </w:rPr>
        <w:t xml:space="preserve"> </w:t>
      </w:r>
      <w:proofErr w:type="gramStart"/>
      <w:r w:rsidRPr="00F40195">
        <w:rPr>
          <w:rFonts w:cs="Times New Roman"/>
          <w:i/>
          <w:iCs/>
        </w:rPr>
        <w:t>Journal of Staff Development, 32</w:t>
      </w:r>
      <w:r w:rsidRPr="00F40195">
        <w:rPr>
          <w:rFonts w:cs="Times New Roman"/>
        </w:rPr>
        <w:t>(4), Special Issue.</w:t>
      </w:r>
      <w:proofErr w:type="gramEnd"/>
    </w:p>
    <w:p w:rsidR="00513C41" w:rsidRPr="00F40195" w:rsidRDefault="00513C41" w:rsidP="00841252">
      <w:pPr>
        <w:spacing w:line="240" w:lineRule="auto"/>
        <w:ind w:left="720" w:hanging="720"/>
        <w:rPr>
          <w:rFonts w:cs="Times New Roman"/>
        </w:rPr>
      </w:pPr>
      <w:r w:rsidRPr="00F40195">
        <w:rPr>
          <w:rFonts w:cs="Times New Roman"/>
        </w:rPr>
        <w:t>Danielson, Charlotte</w:t>
      </w:r>
      <w:r w:rsidR="009739FE" w:rsidRPr="00F40195">
        <w:rPr>
          <w:rFonts w:cs="Times New Roman"/>
        </w:rPr>
        <w:t xml:space="preserve">. </w:t>
      </w:r>
      <w:r w:rsidRPr="00F40195">
        <w:rPr>
          <w:rFonts w:cs="Times New Roman"/>
        </w:rPr>
        <w:t>(2007)</w:t>
      </w:r>
      <w:r w:rsidR="009739FE" w:rsidRPr="00F40195">
        <w:rPr>
          <w:rFonts w:cs="Times New Roman"/>
        </w:rPr>
        <w:t xml:space="preserve">. </w:t>
      </w:r>
      <w:r w:rsidRPr="00F40195">
        <w:rPr>
          <w:rFonts w:cs="Times New Roman"/>
        </w:rPr>
        <w:t xml:space="preserve">Enhancing Professional Practice: A Framework for Teaching. </w:t>
      </w:r>
      <w:proofErr w:type="gramStart"/>
      <w:r w:rsidRPr="00F40195">
        <w:rPr>
          <w:rFonts w:cs="Times New Roman"/>
        </w:rPr>
        <w:t>(2nd Ed.).</w:t>
      </w:r>
      <w:proofErr w:type="gramEnd"/>
      <w:r w:rsidRPr="00F40195">
        <w:rPr>
          <w:rFonts w:cs="Times New Roman"/>
        </w:rPr>
        <w:t xml:space="preserve"> Alexandria, VA: Association for Supervision and Curriculum Development.</w:t>
      </w:r>
    </w:p>
    <w:p w:rsidR="00513C41" w:rsidRPr="00F40195" w:rsidRDefault="00513C41" w:rsidP="00841252">
      <w:pPr>
        <w:spacing w:line="240" w:lineRule="auto"/>
        <w:ind w:left="720" w:hanging="720"/>
        <w:rPr>
          <w:rFonts w:cs="Times New Roman"/>
        </w:rPr>
      </w:pPr>
      <w:proofErr w:type="gramStart"/>
      <w:r w:rsidRPr="00F40195">
        <w:rPr>
          <w:rFonts w:cs="Times New Roman"/>
        </w:rPr>
        <w:t>Denton, Kristin, West, Jerry, &amp; Walston, Jill.</w:t>
      </w:r>
      <w:proofErr w:type="gramEnd"/>
      <w:r w:rsidRPr="00F40195">
        <w:rPr>
          <w:rFonts w:cs="Times New Roman"/>
        </w:rPr>
        <w:t xml:space="preserve"> (2003). </w:t>
      </w:r>
      <w:r w:rsidRPr="00F40195">
        <w:rPr>
          <w:rFonts w:cs="Times New Roman"/>
          <w:i/>
        </w:rPr>
        <w:t>Reading—young children’s achievement and classroom experiences: Findings from the condition of education 2003</w:t>
      </w:r>
      <w:r w:rsidRPr="00F40195">
        <w:rPr>
          <w:rFonts w:cs="Times New Roman"/>
        </w:rPr>
        <w:t>. Washington, DC: National Center for Education Statistics.</w:t>
      </w:r>
    </w:p>
    <w:p w:rsidR="00513C41" w:rsidRPr="00F40195" w:rsidRDefault="00513C41" w:rsidP="00841252">
      <w:pPr>
        <w:spacing w:line="240" w:lineRule="auto"/>
        <w:ind w:left="720" w:hanging="720"/>
        <w:rPr>
          <w:rFonts w:cs="Times New Roman"/>
        </w:rPr>
      </w:pPr>
      <w:proofErr w:type="gramStart"/>
      <w:r w:rsidRPr="00F40195">
        <w:rPr>
          <w:rFonts w:cs="Times New Roman"/>
        </w:rPr>
        <w:t>Donovan, Suzanne, &amp; Bransford, John.</w:t>
      </w:r>
      <w:proofErr w:type="gramEnd"/>
      <w:r w:rsidRPr="00F40195">
        <w:rPr>
          <w:rFonts w:cs="Times New Roman"/>
        </w:rPr>
        <w:t xml:space="preserve"> </w:t>
      </w:r>
      <w:proofErr w:type="gramStart"/>
      <w:r w:rsidRPr="00F40195">
        <w:rPr>
          <w:rFonts w:cs="Times New Roman"/>
        </w:rPr>
        <w:t xml:space="preserve">(2005b). </w:t>
      </w:r>
      <w:r w:rsidRPr="00F40195">
        <w:rPr>
          <w:rFonts w:cs="Times New Roman"/>
          <w:i/>
        </w:rPr>
        <w:t>How students learn – mathematics in the classroom</w:t>
      </w:r>
      <w:r w:rsidRPr="00F40195">
        <w:rPr>
          <w:rFonts w:cs="Times New Roman"/>
        </w:rPr>
        <w:t>.</w:t>
      </w:r>
      <w:proofErr w:type="gramEnd"/>
      <w:r w:rsidRPr="00F40195">
        <w:rPr>
          <w:rFonts w:cs="Times New Roman"/>
        </w:rPr>
        <w:t xml:space="preserve"> Washington, DC: National Research Council.</w:t>
      </w:r>
    </w:p>
    <w:p w:rsidR="00513C41" w:rsidRPr="00F40195" w:rsidRDefault="00513C41" w:rsidP="00841252">
      <w:pPr>
        <w:spacing w:line="240" w:lineRule="auto"/>
        <w:ind w:left="720" w:hanging="720"/>
        <w:rPr>
          <w:rFonts w:cs="Times New Roman"/>
        </w:rPr>
      </w:pPr>
      <w:proofErr w:type="gramStart"/>
      <w:r w:rsidRPr="00F40195">
        <w:rPr>
          <w:rFonts w:cs="Times New Roman"/>
        </w:rPr>
        <w:t>Donovan, Suzanne, &amp; Bransford, John.</w:t>
      </w:r>
      <w:proofErr w:type="gramEnd"/>
      <w:r w:rsidRPr="00F40195">
        <w:rPr>
          <w:rFonts w:cs="Times New Roman"/>
        </w:rPr>
        <w:t xml:space="preserve"> </w:t>
      </w:r>
      <w:proofErr w:type="gramStart"/>
      <w:r w:rsidRPr="00F40195">
        <w:rPr>
          <w:rFonts w:cs="Times New Roman"/>
        </w:rPr>
        <w:t xml:space="preserve">(2005c). </w:t>
      </w:r>
      <w:r w:rsidRPr="00F40195">
        <w:rPr>
          <w:rFonts w:cs="Times New Roman"/>
          <w:i/>
        </w:rPr>
        <w:t>How students learn – science in the classroom</w:t>
      </w:r>
      <w:r w:rsidRPr="00F40195">
        <w:rPr>
          <w:rFonts w:cs="Times New Roman"/>
        </w:rPr>
        <w:t>.</w:t>
      </w:r>
      <w:proofErr w:type="gramEnd"/>
      <w:r w:rsidRPr="00F40195">
        <w:rPr>
          <w:rFonts w:cs="Times New Roman"/>
        </w:rPr>
        <w:t xml:space="preserve"> Washington, DC: National Research Council.</w:t>
      </w:r>
    </w:p>
    <w:p w:rsidR="00513C41" w:rsidRPr="00F40195" w:rsidRDefault="00513C41" w:rsidP="00841252">
      <w:pPr>
        <w:spacing w:line="240" w:lineRule="auto"/>
        <w:ind w:left="720" w:hanging="720"/>
        <w:rPr>
          <w:rFonts w:cs="Times New Roman"/>
        </w:rPr>
      </w:pPr>
      <w:r w:rsidRPr="00F40195">
        <w:rPr>
          <w:rFonts w:cs="Times New Roman"/>
        </w:rPr>
        <w:t>Donovan, Suzanne</w:t>
      </w:r>
      <w:proofErr w:type="gramStart"/>
      <w:r w:rsidRPr="00F40195">
        <w:rPr>
          <w:rFonts w:cs="Times New Roman"/>
        </w:rPr>
        <w:t>,&amp;</w:t>
      </w:r>
      <w:proofErr w:type="gramEnd"/>
      <w:r w:rsidRPr="00F40195">
        <w:rPr>
          <w:rFonts w:cs="Times New Roman"/>
        </w:rPr>
        <w:t xml:space="preserve"> Bransford, John. </w:t>
      </w:r>
      <w:proofErr w:type="gramStart"/>
      <w:r w:rsidRPr="00F40195">
        <w:rPr>
          <w:rFonts w:cs="Times New Roman"/>
        </w:rPr>
        <w:t xml:space="preserve">(2005a). </w:t>
      </w:r>
      <w:r w:rsidRPr="00F40195">
        <w:rPr>
          <w:rFonts w:cs="Times New Roman"/>
          <w:i/>
        </w:rPr>
        <w:t>How students learn – history in the classroom</w:t>
      </w:r>
      <w:r w:rsidRPr="00F40195">
        <w:rPr>
          <w:rFonts w:cs="Times New Roman"/>
        </w:rPr>
        <w:t>.</w:t>
      </w:r>
      <w:proofErr w:type="gramEnd"/>
      <w:r w:rsidRPr="00F40195">
        <w:rPr>
          <w:rFonts w:cs="Times New Roman"/>
        </w:rPr>
        <w:t xml:space="preserve"> Washington, DC: National Research Council.</w:t>
      </w:r>
    </w:p>
    <w:p w:rsidR="00513C41" w:rsidRPr="00F40195" w:rsidRDefault="00513C41" w:rsidP="00841252">
      <w:pPr>
        <w:spacing w:line="240" w:lineRule="auto"/>
        <w:ind w:left="720" w:hanging="720"/>
        <w:rPr>
          <w:rFonts w:cs="Times New Roman"/>
        </w:rPr>
      </w:pPr>
      <w:proofErr w:type="gramStart"/>
      <w:r w:rsidRPr="00F40195">
        <w:rPr>
          <w:rFonts w:cs="Times New Roman"/>
        </w:rPr>
        <w:t>DuFour, Richard, DuFour, Rebecca, Eaker, Robert, &amp; Many, Thomas.</w:t>
      </w:r>
      <w:proofErr w:type="gramEnd"/>
      <w:r w:rsidRPr="00F40195">
        <w:rPr>
          <w:rFonts w:cs="Times New Roman"/>
        </w:rPr>
        <w:t xml:space="preserve"> (2010). </w:t>
      </w:r>
      <w:hyperlink r:id="rId43" w:history="1">
        <w:proofErr w:type="gramStart"/>
        <w:r w:rsidRPr="00F40195">
          <w:rPr>
            <w:rStyle w:val="Hyperlink"/>
            <w:rFonts w:cs="Times New Roman"/>
            <w:bCs/>
            <w:i/>
          </w:rPr>
          <w:t>Learning</w:t>
        </w:r>
        <w:proofErr w:type="gramEnd"/>
        <w:r w:rsidRPr="00F40195">
          <w:rPr>
            <w:rStyle w:val="Hyperlink"/>
            <w:rFonts w:cs="Times New Roman"/>
            <w:bCs/>
            <w:i/>
          </w:rPr>
          <w:t xml:space="preserve"> by doing: A handbook for professional communities at work</w:t>
        </w:r>
      </w:hyperlink>
      <w:r w:rsidRPr="00F40195">
        <w:rPr>
          <w:rFonts w:cs="Times New Roman"/>
          <w:bCs/>
          <w:i/>
        </w:rPr>
        <w:t xml:space="preserve">. </w:t>
      </w:r>
      <w:r w:rsidRPr="00F40195">
        <w:rPr>
          <w:rFonts w:cs="Times New Roman"/>
          <w:bCs/>
        </w:rPr>
        <w:t>Bloomington, IN: Solution Tree Press.</w:t>
      </w:r>
    </w:p>
    <w:p w:rsidR="00513C41" w:rsidRPr="00F40195" w:rsidRDefault="00513C41" w:rsidP="00841252">
      <w:pPr>
        <w:spacing w:line="240" w:lineRule="auto"/>
        <w:ind w:left="720" w:hanging="720"/>
        <w:rPr>
          <w:rFonts w:cs="Times New Roman"/>
        </w:rPr>
      </w:pPr>
      <w:proofErr w:type="gramStart"/>
      <w:r w:rsidRPr="00F40195">
        <w:rPr>
          <w:rFonts w:cs="Times New Roman"/>
        </w:rPr>
        <w:t>Duncombe, William D., &amp; Yinger, John M. (2010).</w:t>
      </w:r>
      <w:proofErr w:type="gramEnd"/>
      <w:r w:rsidRPr="00F40195">
        <w:rPr>
          <w:rFonts w:cs="Times New Roman"/>
        </w:rPr>
        <w:t xml:space="preserve"> School district consolidation: The benefits and costs. </w:t>
      </w:r>
      <w:r w:rsidRPr="00F40195">
        <w:rPr>
          <w:rFonts w:cs="Times New Roman"/>
          <w:i/>
        </w:rPr>
        <w:t>The School Administrator, 67</w:t>
      </w:r>
      <w:r w:rsidRPr="00F40195">
        <w:rPr>
          <w:rFonts w:cs="Times New Roman"/>
        </w:rPr>
        <w:t>(5), 10-17.</w:t>
      </w:r>
    </w:p>
    <w:p w:rsidR="00513C41" w:rsidRPr="00F40195" w:rsidRDefault="00513C41" w:rsidP="00841252">
      <w:pPr>
        <w:spacing w:line="240" w:lineRule="auto"/>
        <w:ind w:left="720" w:hanging="720"/>
        <w:rPr>
          <w:rFonts w:cs="Times New Roman"/>
        </w:rPr>
      </w:pPr>
      <w:proofErr w:type="gramStart"/>
      <w:r w:rsidRPr="00F40195">
        <w:rPr>
          <w:rFonts w:cs="Times New Roman"/>
        </w:rPr>
        <w:t>Educational Research Service</w:t>
      </w:r>
      <w:r w:rsidR="009739FE" w:rsidRPr="00F40195">
        <w:rPr>
          <w:rFonts w:cs="Times New Roman"/>
        </w:rPr>
        <w:t>.</w:t>
      </w:r>
      <w:proofErr w:type="gramEnd"/>
      <w:r w:rsidR="009739FE" w:rsidRPr="00F40195">
        <w:rPr>
          <w:rFonts w:cs="Times New Roman"/>
        </w:rPr>
        <w:t xml:space="preserve"> </w:t>
      </w:r>
      <w:r w:rsidRPr="00F40195">
        <w:rPr>
          <w:rFonts w:cs="Times New Roman"/>
        </w:rPr>
        <w:t xml:space="preserve">(2009). </w:t>
      </w:r>
      <w:proofErr w:type="gramStart"/>
      <w:r w:rsidRPr="00F40195">
        <w:rPr>
          <w:rFonts w:cs="Times New Roman"/>
          <w:i/>
        </w:rPr>
        <w:t>Staffing</w:t>
      </w:r>
      <w:proofErr w:type="gramEnd"/>
      <w:r w:rsidRPr="00F40195">
        <w:rPr>
          <w:rFonts w:cs="Times New Roman"/>
          <w:i/>
        </w:rPr>
        <w:t xml:space="preserve"> patterns in public school systems:  Current status and trends, update 2009</w:t>
      </w:r>
      <w:r w:rsidRPr="00F40195">
        <w:rPr>
          <w:rFonts w:cs="Times New Roman"/>
        </w:rPr>
        <w:t xml:space="preserve">. Alexandria, VA:  Educational Research Service, </w:t>
      </w:r>
      <w:hyperlink r:id="rId44" w:history="1">
        <w:r w:rsidRPr="00F40195">
          <w:rPr>
            <w:rStyle w:val="Hyperlink"/>
            <w:rFonts w:cs="Times New Roman"/>
          </w:rPr>
          <w:t>www.ers.org</w:t>
        </w:r>
      </w:hyperlink>
      <w:r w:rsidRPr="00F40195">
        <w:rPr>
          <w:rFonts w:cs="Times New Roman"/>
        </w:rPr>
        <w:t xml:space="preserve">. </w:t>
      </w:r>
      <w:proofErr w:type="gramStart"/>
      <w:r w:rsidRPr="00F40195">
        <w:rPr>
          <w:rFonts w:cs="Times New Roman"/>
        </w:rPr>
        <w:t>Downloaded September 3, 2010.</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Elbaum, Batya, Vaughn, Sharon, Hughes, Marie T., &amp; Moody, Sally W. (1999). Grouping practices and reading outcomes for students with disabilities. </w:t>
      </w:r>
      <w:r w:rsidRPr="00F40195">
        <w:rPr>
          <w:rFonts w:cs="Times New Roman"/>
          <w:i/>
        </w:rPr>
        <w:t>Exceptional Children</w:t>
      </w:r>
      <w:r w:rsidRPr="00F40195">
        <w:rPr>
          <w:rFonts w:cs="Times New Roman"/>
        </w:rPr>
        <w:t xml:space="preserve">, </w:t>
      </w:r>
      <w:r w:rsidRPr="00F40195">
        <w:rPr>
          <w:rFonts w:cs="Times New Roman"/>
          <w:i/>
        </w:rPr>
        <w:t>65</w:t>
      </w:r>
      <w:r w:rsidRPr="00F40195">
        <w:rPr>
          <w:rFonts w:cs="Times New Roman"/>
        </w:rPr>
        <w:t>, 399</w:t>
      </w:r>
      <w:r w:rsidRPr="00F40195">
        <w:rPr>
          <w:rStyle w:val="FontStyle28"/>
          <w:rFonts w:ascii="Times New Roman" w:hAnsi="Times New Roman" w:cs="Times New Roman"/>
        </w:rPr>
        <w:t>–</w:t>
      </w:r>
      <w:r w:rsidRPr="00F40195">
        <w:rPr>
          <w:rFonts w:cs="Times New Roman"/>
        </w:rPr>
        <w:t>415.</w:t>
      </w:r>
    </w:p>
    <w:p w:rsidR="00513C41" w:rsidRPr="00F40195" w:rsidRDefault="00513C41" w:rsidP="00841252">
      <w:pPr>
        <w:spacing w:line="240" w:lineRule="auto"/>
        <w:ind w:left="720" w:hanging="720"/>
        <w:rPr>
          <w:rFonts w:cs="Times New Roman"/>
        </w:rPr>
      </w:pPr>
      <w:proofErr w:type="gramStart"/>
      <w:r w:rsidRPr="00F40195">
        <w:rPr>
          <w:rFonts w:cs="Times New Roman"/>
        </w:rPr>
        <w:t>Elicker, James &amp; Sangeeta Mathur</w:t>
      </w:r>
      <w:r w:rsidR="009739FE" w:rsidRPr="00F40195">
        <w:rPr>
          <w:rFonts w:cs="Times New Roman"/>
        </w:rPr>
        <w:t>.</w:t>
      </w:r>
      <w:proofErr w:type="gramEnd"/>
      <w:r w:rsidR="009739FE" w:rsidRPr="00F40195">
        <w:rPr>
          <w:rFonts w:cs="Times New Roman"/>
        </w:rPr>
        <w:t xml:space="preserve"> </w:t>
      </w:r>
      <w:r w:rsidRPr="00F40195">
        <w:rPr>
          <w:rFonts w:cs="Times New Roman"/>
        </w:rPr>
        <w:t>(1997)</w:t>
      </w:r>
      <w:r w:rsidR="009739FE" w:rsidRPr="00F40195">
        <w:rPr>
          <w:rFonts w:cs="Times New Roman"/>
        </w:rPr>
        <w:t xml:space="preserve">. </w:t>
      </w:r>
      <w:proofErr w:type="gramStart"/>
      <w:r w:rsidRPr="00F40195">
        <w:rPr>
          <w:rFonts w:cs="Times New Roman"/>
        </w:rPr>
        <w:t>What</w:t>
      </w:r>
      <w:proofErr w:type="gramEnd"/>
      <w:r w:rsidRPr="00F40195">
        <w:rPr>
          <w:rFonts w:cs="Times New Roman"/>
        </w:rPr>
        <w:t xml:space="preserve"> do they do all day? </w:t>
      </w:r>
      <w:proofErr w:type="gramStart"/>
      <w:r w:rsidRPr="00F40195">
        <w:rPr>
          <w:rFonts w:cs="Times New Roman"/>
        </w:rPr>
        <w:t>Comprehensive evaluation of a full day kindergarten</w:t>
      </w:r>
      <w:r w:rsidR="009739FE" w:rsidRPr="00F40195">
        <w:rPr>
          <w:rFonts w:cs="Times New Roman"/>
        </w:rPr>
        <w:t>.</w:t>
      </w:r>
      <w:proofErr w:type="gramEnd"/>
      <w:r w:rsidR="009739FE" w:rsidRPr="00F40195">
        <w:rPr>
          <w:rFonts w:cs="Times New Roman"/>
        </w:rPr>
        <w:t xml:space="preserve"> </w:t>
      </w:r>
      <w:r w:rsidRPr="00F40195">
        <w:rPr>
          <w:rFonts w:cs="Times New Roman"/>
          <w:i/>
        </w:rPr>
        <w:t xml:space="preserve">Early Childhood research </w:t>
      </w:r>
      <w:proofErr w:type="gramStart"/>
      <w:r w:rsidRPr="00F40195">
        <w:rPr>
          <w:rFonts w:cs="Times New Roman"/>
          <w:i/>
        </w:rPr>
        <w:t>Quarterly</w:t>
      </w:r>
      <w:proofErr w:type="gramEnd"/>
      <w:r w:rsidRPr="00F40195">
        <w:rPr>
          <w:rFonts w:cs="Times New Roman"/>
        </w:rPr>
        <w:t>, 12(4), 459-480.</w:t>
      </w:r>
    </w:p>
    <w:p w:rsidR="00F063C6" w:rsidRPr="00F40195" w:rsidRDefault="00F063C6" w:rsidP="00841252">
      <w:pPr>
        <w:spacing w:line="240" w:lineRule="auto"/>
        <w:ind w:left="720" w:hanging="720"/>
        <w:rPr>
          <w:rFonts w:cs="Times New Roman"/>
        </w:rPr>
      </w:pPr>
      <w:r w:rsidRPr="00F40195">
        <w:rPr>
          <w:rFonts w:cs="Times New Roman"/>
        </w:rPr>
        <w:t xml:space="preserve">Farbman, D. A., Goldberg, D. J., Miller, T. J., (2014) Redesigning and expanding school time to support common core implementation. </w:t>
      </w:r>
      <w:proofErr w:type="gramStart"/>
      <w:r w:rsidRPr="00F40195">
        <w:rPr>
          <w:rFonts w:cs="Times New Roman"/>
        </w:rPr>
        <w:t>National Center on Time and Learning.</w:t>
      </w:r>
      <w:proofErr w:type="gramEnd"/>
      <w:r w:rsidRPr="00F40195">
        <w:rPr>
          <w:rFonts w:cs="Times New Roman"/>
        </w:rPr>
        <w:t xml:space="preserve"> Washington, D.C.: Center for American Progress.</w:t>
      </w:r>
    </w:p>
    <w:p w:rsidR="00F063C6" w:rsidRPr="00F40195" w:rsidRDefault="00F063C6" w:rsidP="00841252">
      <w:pPr>
        <w:spacing w:line="240" w:lineRule="auto"/>
        <w:ind w:left="720" w:hanging="720"/>
        <w:rPr>
          <w:rFonts w:cs="Times New Roman"/>
        </w:rPr>
      </w:pPr>
    </w:p>
    <w:p w:rsidR="00513C41" w:rsidRPr="00F40195" w:rsidRDefault="00513C41" w:rsidP="00841252">
      <w:pPr>
        <w:spacing w:line="240" w:lineRule="auto"/>
        <w:ind w:left="720" w:hanging="720"/>
        <w:rPr>
          <w:rFonts w:cs="Times New Roman"/>
        </w:rPr>
      </w:pPr>
      <w:r w:rsidRPr="00F40195">
        <w:rPr>
          <w:rFonts w:cs="Times New Roman"/>
        </w:rPr>
        <w:t xml:space="preserve">Farkas, George. (1998). Reading one-to-one: An intensive program serving a great many students while still achieving. In Jonathan Crane, Ed. </w:t>
      </w:r>
      <w:r w:rsidRPr="00F40195">
        <w:rPr>
          <w:rFonts w:cs="Times New Roman"/>
          <w:i/>
        </w:rPr>
        <w:t>Social programs that work</w:t>
      </w:r>
      <w:r w:rsidRPr="00F40195">
        <w:rPr>
          <w:rFonts w:cs="Times New Roman"/>
        </w:rPr>
        <w:t>. New York: Russell Sage Foundation.</w:t>
      </w:r>
    </w:p>
    <w:p w:rsidR="00513C41" w:rsidRPr="00F40195" w:rsidRDefault="00513C41" w:rsidP="00841252">
      <w:pPr>
        <w:spacing w:line="240" w:lineRule="auto"/>
        <w:ind w:left="720" w:hanging="720"/>
        <w:rPr>
          <w:rFonts w:cs="Times New Roman"/>
        </w:rPr>
      </w:pPr>
      <w:r w:rsidRPr="00F40195">
        <w:rPr>
          <w:rFonts w:cs="Times New Roman"/>
        </w:rPr>
        <w:t xml:space="preserve">Feldman, Amy F., &amp; Matjasko, Jennifer </w:t>
      </w:r>
      <w:proofErr w:type="gramStart"/>
      <w:r w:rsidRPr="00F40195">
        <w:rPr>
          <w:rFonts w:cs="Times New Roman"/>
        </w:rPr>
        <w:t>L..</w:t>
      </w:r>
      <w:proofErr w:type="gramEnd"/>
      <w:r w:rsidRPr="00F40195">
        <w:rPr>
          <w:rFonts w:cs="Times New Roman"/>
        </w:rPr>
        <w:t xml:space="preserve"> (2005). </w:t>
      </w:r>
      <w:proofErr w:type="gramStart"/>
      <w:r w:rsidRPr="00F40195">
        <w:rPr>
          <w:rFonts w:cs="Times New Roman"/>
        </w:rPr>
        <w:t>The</w:t>
      </w:r>
      <w:proofErr w:type="gramEnd"/>
      <w:r w:rsidRPr="00F40195">
        <w:rPr>
          <w:rFonts w:cs="Times New Roman"/>
        </w:rPr>
        <w:t xml:space="preserve"> role of school-based extracurricular activities in adolescent development; A comprehensive review and future directions. </w:t>
      </w:r>
      <w:r w:rsidRPr="00F40195">
        <w:rPr>
          <w:rFonts w:cs="Times New Roman"/>
          <w:i/>
        </w:rPr>
        <w:t>Review of Educational Research</w:t>
      </w:r>
      <w:r w:rsidRPr="00F40195">
        <w:rPr>
          <w:rFonts w:cs="Times New Roman"/>
        </w:rPr>
        <w:t xml:space="preserve">, </w:t>
      </w:r>
      <w:r w:rsidRPr="00F40195">
        <w:rPr>
          <w:rFonts w:cs="Times New Roman"/>
          <w:i/>
        </w:rPr>
        <w:t>75</w:t>
      </w:r>
      <w:r w:rsidRPr="00F40195">
        <w:rPr>
          <w:rFonts w:cs="Times New Roman"/>
        </w:rPr>
        <w:t>(2), 159</w:t>
      </w:r>
      <w:r w:rsidRPr="00F40195">
        <w:rPr>
          <w:rStyle w:val="FontStyle28"/>
          <w:rFonts w:ascii="Times New Roman" w:hAnsi="Times New Roman" w:cs="Times New Roman"/>
        </w:rPr>
        <w:t>–</w:t>
      </w:r>
      <w:r w:rsidRPr="00F40195">
        <w:rPr>
          <w:rFonts w:cs="Times New Roman"/>
        </w:rPr>
        <w:t>210.</w:t>
      </w:r>
    </w:p>
    <w:p w:rsidR="00513C41" w:rsidRPr="00F40195" w:rsidRDefault="00513C41" w:rsidP="00841252">
      <w:pPr>
        <w:spacing w:line="240" w:lineRule="auto"/>
        <w:ind w:left="720" w:hanging="720"/>
        <w:rPr>
          <w:rFonts w:cs="Times New Roman"/>
        </w:rPr>
      </w:pPr>
      <w:r w:rsidRPr="00F40195">
        <w:rPr>
          <w:rFonts w:cs="Times New Roman"/>
        </w:rPr>
        <w:t>Field, Gara Brooke, (2007). The effect of using Renzulli Learning on student achievement: An investigation of internet technology on reading fluency and comprehension. Storrs, CT: University of Connecticut, Neag School of Education, National Research Center on the Gifted and Talented.</w:t>
      </w:r>
    </w:p>
    <w:p w:rsidR="00513C41" w:rsidRPr="00F40195" w:rsidRDefault="00513C41" w:rsidP="00841252">
      <w:pPr>
        <w:spacing w:line="240" w:lineRule="auto"/>
        <w:ind w:left="720" w:hanging="720"/>
        <w:rPr>
          <w:rFonts w:cs="Times New Roman"/>
        </w:rPr>
      </w:pPr>
      <w:proofErr w:type="gramStart"/>
      <w:r w:rsidRPr="00F40195">
        <w:rPr>
          <w:rFonts w:cs="Times New Roman"/>
        </w:rPr>
        <w:t>Finn, Jeremy D., &amp; Achilles, Charles M. (1999).</w:t>
      </w:r>
      <w:proofErr w:type="gramEnd"/>
      <w:r w:rsidRPr="00F40195">
        <w:rPr>
          <w:rFonts w:cs="Times New Roman"/>
        </w:rPr>
        <w:t xml:space="preserve"> Tennessee’s class size study: Findings, implications, misconceptions. </w:t>
      </w:r>
      <w:r w:rsidRPr="00F40195">
        <w:rPr>
          <w:rFonts w:cs="Times New Roman"/>
          <w:i/>
        </w:rPr>
        <w:t>Educational Evaluation and Policy Analysis, 21,</w:t>
      </w:r>
      <w:r w:rsidRPr="00F40195">
        <w:rPr>
          <w:rFonts w:cs="Times New Roman"/>
        </w:rPr>
        <w:t xml:space="preserve"> 97–109.</w:t>
      </w:r>
    </w:p>
    <w:p w:rsidR="00513C41" w:rsidRPr="00F40195" w:rsidRDefault="00513C41" w:rsidP="00841252">
      <w:pPr>
        <w:spacing w:line="240" w:lineRule="auto"/>
        <w:ind w:left="720" w:hanging="720"/>
        <w:rPr>
          <w:rFonts w:cs="Times New Roman"/>
        </w:rPr>
      </w:pPr>
      <w:r w:rsidRPr="00F40195">
        <w:rPr>
          <w:rFonts w:cs="Times New Roman"/>
        </w:rPr>
        <w:t xml:space="preserve">Finn, Jeremy D., Gerger, Susan B., Achilles, Charles M., &amp; Zaharias, Jane B. (2001). </w:t>
      </w:r>
      <w:proofErr w:type="gramStart"/>
      <w:r w:rsidRPr="00F40195">
        <w:rPr>
          <w:rFonts w:cs="Times New Roman"/>
        </w:rPr>
        <w:t>The enduring effects of small classes.</w:t>
      </w:r>
      <w:proofErr w:type="gramEnd"/>
      <w:r w:rsidRPr="00F40195">
        <w:rPr>
          <w:rFonts w:cs="Times New Roman"/>
        </w:rPr>
        <w:t xml:space="preserve"> </w:t>
      </w:r>
      <w:r w:rsidRPr="00F40195">
        <w:rPr>
          <w:rFonts w:cs="Times New Roman"/>
          <w:i/>
          <w:iCs/>
        </w:rPr>
        <w:t>Teachers College Record, 103</w:t>
      </w:r>
      <w:r w:rsidRPr="00F40195">
        <w:rPr>
          <w:rFonts w:cs="Times New Roman"/>
        </w:rPr>
        <w:t>(2), 145-183.</w:t>
      </w:r>
    </w:p>
    <w:p w:rsidR="00513C41" w:rsidRPr="00F40195" w:rsidRDefault="00513C41" w:rsidP="00841252">
      <w:pPr>
        <w:spacing w:line="240" w:lineRule="auto"/>
        <w:ind w:left="720" w:hanging="720"/>
        <w:rPr>
          <w:rFonts w:cs="Times New Roman"/>
        </w:rPr>
      </w:pPr>
      <w:r w:rsidRPr="00F40195">
        <w:rPr>
          <w:rFonts w:cs="Times New Roman"/>
        </w:rPr>
        <w:t xml:space="preserve">Finn, Jeremy. (2002). Small classes in America: Research, practice, and politics. </w:t>
      </w:r>
      <w:r w:rsidRPr="00F40195">
        <w:rPr>
          <w:rFonts w:cs="Times New Roman"/>
          <w:i/>
        </w:rPr>
        <w:t>Phi Delta Kappan, 83</w:t>
      </w:r>
      <w:r w:rsidRPr="00F40195">
        <w:rPr>
          <w:rFonts w:cs="Times New Roman"/>
        </w:rPr>
        <w:t>(7), 551–560.</w:t>
      </w:r>
    </w:p>
    <w:p w:rsidR="00513C41" w:rsidRPr="00F40195" w:rsidRDefault="00513C41" w:rsidP="00841252">
      <w:pPr>
        <w:spacing w:line="240" w:lineRule="auto"/>
        <w:ind w:left="720" w:hanging="720"/>
        <w:rPr>
          <w:rFonts w:cs="Times New Roman"/>
        </w:rPr>
      </w:pPr>
      <w:proofErr w:type="gramStart"/>
      <w:r w:rsidRPr="00F40195">
        <w:rPr>
          <w:rFonts w:cs="Times New Roman"/>
        </w:rPr>
        <w:t>Fowler ,</w:t>
      </w:r>
      <w:proofErr w:type="gramEnd"/>
      <w:r w:rsidRPr="00F40195">
        <w:rPr>
          <w:rFonts w:cs="Times New Roman"/>
        </w:rPr>
        <w:t xml:space="preserve"> R. Clarke</w:t>
      </w:r>
      <w:r w:rsidR="009739FE" w:rsidRPr="00F40195">
        <w:rPr>
          <w:rFonts w:cs="Times New Roman"/>
        </w:rPr>
        <w:t xml:space="preserve">. </w:t>
      </w:r>
      <w:proofErr w:type="gramStart"/>
      <w:r w:rsidRPr="00F40195">
        <w:rPr>
          <w:rFonts w:cs="Times New Roman"/>
        </w:rPr>
        <w:t>(2008)</w:t>
      </w:r>
      <w:r w:rsidR="009739FE" w:rsidRPr="00F40195">
        <w:rPr>
          <w:rFonts w:cs="Times New Roman"/>
        </w:rPr>
        <w:t xml:space="preserve">. </w:t>
      </w:r>
      <w:r w:rsidRPr="00F40195">
        <w:rPr>
          <w:rFonts w:cs="Times New Roman"/>
        </w:rPr>
        <w:t xml:space="preserve">The Heralded Rise and Neglected Fall of the Massachusetts Signing Bonus, </w:t>
      </w:r>
      <w:r w:rsidRPr="00F40195">
        <w:rPr>
          <w:rFonts w:cs="Times New Roman"/>
          <w:i/>
        </w:rPr>
        <w:t>Phi Delta Kappan</w:t>
      </w:r>
      <w:r w:rsidRPr="00F40195">
        <w:rPr>
          <w:rFonts w:cs="Times New Roman"/>
        </w:rPr>
        <w:t>, 89(5), 380-385.</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Fowler, William Jr., &amp; Monk, David.</w:t>
      </w:r>
      <w:proofErr w:type="gramEnd"/>
      <w:r w:rsidRPr="00F40195">
        <w:rPr>
          <w:rFonts w:cs="Times New Roman"/>
        </w:rPr>
        <w:t xml:space="preserve"> </w:t>
      </w:r>
      <w:proofErr w:type="gramStart"/>
      <w:r w:rsidRPr="00F40195">
        <w:rPr>
          <w:rFonts w:cs="Times New Roman"/>
        </w:rPr>
        <w:t xml:space="preserve">(2001). </w:t>
      </w:r>
      <w:r w:rsidRPr="00F40195">
        <w:rPr>
          <w:rFonts w:cs="Times New Roman"/>
          <w:i/>
        </w:rPr>
        <w:t>A primer for making cost adjustments in education</w:t>
      </w:r>
      <w:r w:rsidRPr="00F40195">
        <w:rPr>
          <w:rFonts w:cs="Times New Roman"/>
        </w:rPr>
        <w:t>.</w:t>
      </w:r>
      <w:proofErr w:type="gramEnd"/>
      <w:r w:rsidRPr="00F40195">
        <w:rPr>
          <w:rFonts w:cs="Times New Roman"/>
        </w:rPr>
        <w:t xml:space="preserve"> Washington, DC: U.S. Department of Education, National Center for Education Statistics.</w:t>
      </w:r>
    </w:p>
    <w:p w:rsidR="00513C41" w:rsidRPr="00F40195" w:rsidRDefault="00513C41" w:rsidP="00841252">
      <w:pPr>
        <w:spacing w:line="240" w:lineRule="auto"/>
        <w:ind w:left="720" w:hanging="720"/>
        <w:rPr>
          <w:rFonts w:cs="Times New Roman"/>
        </w:rPr>
      </w:pPr>
      <w:r w:rsidRPr="00F40195">
        <w:rPr>
          <w:rFonts w:cs="Times New Roman"/>
        </w:rPr>
        <w:t xml:space="preserve">Fox, William F. (1981). </w:t>
      </w:r>
      <w:proofErr w:type="gramStart"/>
      <w:r w:rsidRPr="00F40195">
        <w:rPr>
          <w:rFonts w:cs="Times New Roman"/>
        </w:rPr>
        <w:t>Reviewing economies of size in education.</w:t>
      </w:r>
      <w:proofErr w:type="gramEnd"/>
      <w:r w:rsidRPr="00F40195">
        <w:rPr>
          <w:rFonts w:cs="Times New Roman"/>
        </w:rPr>
        <w:t xml:space="preserve"> </w:t>
      </w:r>
      <w:r w:rsidRPr="00F40195">
        <w:rPr>
          <w:rFonts w:cs="Times New Roman"/>
          <w:i/>
        </w:rPr>
        <w:t>Journal of Education Finance, 6</w:t>
      </w:r>
      <w:r w:rsidRPr="00F40195">
        <w:rPr>
          <w:rFonts w:cs="Times New Roman"/>
        </w:rPr>
        <w:t>(3), 273–296.</w:t>
      </w:r>
    </w:p>
    <w:p w:rsidR="00513C41" w:rsidRPr="00F40195" w:rsidRDefault="00513C41" w:rsidP="00841252">
      <w:pPr>
        <w:spacing w:line="240" w:lineRule="auto"/>
        <w:ind w:left="720" w:hanging="720"/>
        <w:rPr>
          <w:rFonts w:cs="Times New Roman"/>
        </w:rPr>
      </w:pPr>
      <w:r w:rsidRPr="00F40195">
        <w:rPr>
          <w:rFonts w:cs="Times New Roman"/>
          <w:color w:val="000000"/>
        </w:rPr>
        <w:t xml:space="preserve">Frede, Ellen, Jung, </w:t>
      </w:r>
      <w:r w:rsidRPr="00F40195">
        <w:rPr>
          <w:rStyle w:val="st"/>
          <w:rFonts w:cs="Times New Roman"/>
        </w:rPr>
        <w:t>Kwanghee</w:t>
      </w:r>
      <w:r w:rsidRPr="00F40195">
        <w:rPr>
          <w:rFonts w:cs="Times New Roman"/>
          <w:color w:val="000000"/>
        </w:rPr>
        <w:t xml:space="preserve">, Barnett, W. </w:t>
      </w:r>
      <w:proofErr w:type="gramStart"/>
      <w:r w:rsidRPr="00F40195">
        <w:rPr>
          <w:rFonts w:cs="Times New Roman"/>
          <w:color w:val="000000"/>
        </w:rPr>
        <w:t>Steven ,</w:t>
      </w:r>
      <w:proofErr w:type="gramEnd"/>
      <w:r w:rsidRPr="00F40195">
        <w:rPr>
          <w:rFonts w:cs="Times New Roman"/>
          <w:color w:val="000000"/>
        </w:rPr>
        <w:t xml:space="preserve"> Lamy, Cynthia E., &amp; Figueras, Alexandra. (2007). </w:t>
      </w:r>
      <w:proofErr w:type="gramStart"/>
      <w:r w:rsidRPr="00F40195">
        <w:rPr>
          <w:rFonts w:cs="Times New Roman"/>
          <w:i/>
          <w:color w:val="000000"/>
        </w:rPr>
        <w:t>The</w:t>
      </w:r>
      <w:proofErr w:type="gramEnd"/>
      <w:r w:rsidRPr="00F40195">
        <w:rPr>
          <w:rFonts w:cs="Times New Roman"/>
          <w:i/>
          <w:color w:val="000000"/>
        </w:rPr>
        <w:t xml:space="preserve"> Abbott Preschool Program Longitudinal Effects Study (APPLES): Interim Report</w:t>
      </w:r>
      <w:r w:rsidRPr="00F40195">
        <w:rPr>
          <w:rFonts w:cs="Times New Roman"/>
          <w:color w:val="000000"/>
        </w:rPr>
        <w:t xml:space="preserve">. New Brunswick, NJ: National Institute for Early Education Research. </w:t>
      </w:r>
      <w:r w:rsidRPr="00F40195">
        <w:rPr>
          <w:rFonts w:cs="Times New Roman"/>
          <w:color w:val="0000FF"/>
        </w:rPr>
        <w:t>http://nieer.org/resources/research/APPLES.pdf</w:t>
      </w:r>
      <w:r w:rsidRPr="00F40195">
        <w:rPr>
          <w:rFonts w:cs="Times New Roman"/>
          <w:color w:val="000000"/>
        </w:rPr>
        <w:t xml:space="preserve">. </w:t>
      </w:r>
    </w:p>
    <w:p w:rsidR="00513C41" w:rsidRPr="00F26F5C" w:rsidRDefault="00513C41" w:rsidP="00841252">
      <w:pPr>
        <w:spacing w:line="240" w:lineRule="auto"/>
        <w:ind w:left="720" w:hanging="720"/>
        <w:rPr>
          <w:rFonts w:cs="Times New Roman"/>
          <w:szCs w:val="24"/>
        </w:rPr>
      </w:pPr>
      <w:r w:rsidRPr="00F40195">
        <w:rPr>
          <w:rFonts w:cs="Times New Roman"/>
        </w:rPr>
        <w:t xml:space="preserve">Fusaro, Joseph A. (1997). The effect of full-day kindergarten on student achievement: A meta-analysis, </w:t>
      </w:r>
      <w:r w:rsidRPr="00F40195">
        <w:rPr>
          <w:rFonts w:cs="Times New Roman"/>
          <w:i/>
          <w:iCs/>
        </w:rPr>
        <w:t>Child Study Journal, 27</w:t>
      </w:r>
      <w:r w:rsidRPr="00F40195">
        <w:rPr>
          <w:rFonts w:cs="Times New Roman"/>
        </w:rPr>
        <w:t>(4</w:t>
      </w:r>
      <w:r w:rsidRPr="00F26F5C">
        <w:rPr>
          <w:rFonts w:cs="Times New Roman"/>
          <w:szCs w:val="24"/>
        </w:rPr>
        <w:t>), 269-277.</w:t>
      </w:r>
    </w:p>
    <w:p w:rsidR="006B39C5" w:rsidRPr="00F26F5C" w:rsidRDefault="006B39C5" w:rsidP="006B39C5">
      <w:pPr>
        <w:spacing w:line="240" w:lineRule="auto"/>
        <w:ind w:left="720" w:hanging="720"/>
        <w:rPr>
          <w:rFonts w:cs="Times New Roman"/>
          <w:szCs w:val="24"/>
        </w:rPr>
      </w:pPr>
      <w:proofErr w:type="gramStart"/>
      <w:r w:rsidRPr="00F26F5C">
        <w:rPr>
          <w:rFonts w:cs="Times New Roman"/>
          <w:szCs w:val="24"/>
        </w:rPr>
        <w:t>Fuchs, D. &amp; Fuchs, L. (2006).</w:t>
      </w:r>
      <w:proofErr w:type="gramEnd"/>
      <w:r w:rsidRPr="00F26F5C">
        <w:rPr>
          <w:rFonts w:cs="Times New Roman"/>
          <w:szCs w:val="24"/>
        </w:rPr>
        <w:t xml:space="preserve"> Introduction to intervention:  What, why, and how valid is it? </w:t>
      </w:r>
      <w:r w:rsidRPr="00F26F5C">
        <w:rPr>
          <w:rFonts w:eastAsia="Times New Roman" w:cs="Times New Roman"/>
          <w:i/>
          <w:iCs/>
          <w:color w:val="222222"/>
          <w:szCs w:val="24"/>
          <w:bdr w:val="none" w:sz="0" w:space="0" w:color="auto" w:frame="1"/>
        </w:rPr>
        <w:t>Reading Research Quarterly</w:t>
      </w:r>
      <w:r w:rsidR="00F26F5C">
        <w:rPr>
          <w:rFonts w:eastAsia="Times New Roman" w:cs="Times New Roman"/>
          <w:color w:val="222222"/>
          <w:szCs w:val="24"/>
        </w:rPr>
        <w:t xml:space="preserve">, </w:t>
      </w:r>
      <w:proofErr w:type="gramStart"/>
      <w:r w:rsidR="00F26F5C">
        <w:rPr>
          <w:rFonts w:eastAsia="Times New Roman" w:cs="Times New Roman"/>
          <w:color w:val="222222"/>
          <w:szCs w:val="24"/>
        </w:rPr>
        <w:t>v41(</w:t>
      </w:r>
      <w:proofErr w:type="gramEnd"/>
      <w:r w:rsidR="00F26F5C">
        <w:rPr>
          <w:rFonts w:eastAsia="Times New Roman" w:cs="Times New Roman"/>
          <w:color w:val="222222"/>
          <w:szCs w:val="24"/>
        </w:rPr>
        <w:t>1),</w:t>
      </w:r>
      <w:r w:rsidRPr="00F26F5C">
        <w:rPr>
          <w:rFonts w:eastAsia="Times New Roman" w:cs="Times New Roman"/>
          <w:color w:val="222222"/>
          <w:szCs w:val="24"/>
        </w:rPr>
        <w:t xml:space="preserve"> p</w:t>
      </w:r>
      <w:r w:rsidR="00F26F5C">
        <w:rPr>
          <w:rFonts w:eastAsia="Times New Roman" w:cs="Times New Roman"/>
          <w:color w:val="222222"/>
          <w:szCs w:val="24"/>
        </w:rPr>
        <w:t>p 93-99.</w:t>
      </w:r>
    </w:p>
    <w:p w:rsidR="00513C41" w:rsidRPr="00F40195" w:rsidRDefault="00513C41" w:rsidP="00841252">
      <w:pPr>
        <w:spacing w:line="240" w:lineRule="auto"/>
        <w:ind w:left="720" w:hanging="720"/>
        <w:rPr>
          <w:rFonts w:cs="Times New Roman"/>
        </w:rPr>
      </w:pPr>
      <w:proofErr w:type="gramStart"/>
      <w:r w:rsidRPr="00F40195">
        <w:rPr>
          <w:rFonts w:cs="Times New Roman"/>
        </w:rPr>
        <w:t>Gallagher, James, &amp; Coleman, Mary R. (1992).</w:t>
      </w:r>
      <w:proofErr w:type="gramEnd"/>
      <w:r w:rsidRPr="00F40195">
        <w:rPr>
          <w:rFonts w:cs="Times New Roman"/>
        </w:rPr>
        <w:t xml:space="preserve"> </w:t>
      </w:r>
      <w:r w:rsidRPr="00F40195">
        <w:rPr>
          <w:rFonts w:cs="Times New Roman"/>
          <w:i/>
          <w:iCs/>
        </w:rPr>
        <w:t>State policies on the identification of gifted students from special populations: Three states in profile.</w:t>
      </w:r>
      <w:r w:rsidRPr="00F40195">
        <w:rPr>
          <w:rFonts w:cs="Times New Roman"/>
          <w:iCs/>
        </w:rPr>
        <w:t xml:space="preserve"> Chapel Hill, NC: Gifted Education Policy Studies Program.</w:t>
      </w:r>
    </w:p>
    <w:p w:rsidR="00513C41" w:rsidRPr="00F40195" w:rsidRDefault="00513C41" w:rsidP="00841252">
      <w:pPr>
        <w:spacing w:line="240" w:lineRule="auto"/>
        <w:ind w:left="720" w:hanging="720"/>
        <w:rPr>
          <w:rFonts w:cs="Times New Roman"/>
        </w:rPr>
      </w:pPr>
      <w:r w:rsidRPr="00F40195">
        <w:rPr>
          <w:rFonts w:cs="Times New Roman"/>
        </w:rPr>
        <w:t xml:space="preserve">Gallagher, James. (1996). </w:t>
      </w:r>
      <w:proofErr w:type="gramStart"/>
      <w:r w:rsidRPr="00F40195">
        <w:rPr>
          <w:rFonts w:cs="Times New Roman"/>
        </w:rPr>
        <w:t>The</w:t>
      </w:r>
      <w:proofErr w:type="gramEnd"/>
      <w:r w:rsidRPr="00F40195">
        <w:rPr>
          <w:rFonts w:cs="Times New Roman"/>
        </w:rPr>
        <w:t xml:space="preserve"> strange case of acceleration. </w:t>
      </w:r>
      <w:proofErr w:type="gramStart"/>
      <w:r w:rsidRPr="00F40195">
        <w:rPr>
          <w:rFonts w:cs="Times New Roman"/>
        </w:rPr>
        <w:t xml:space="preserve">In C. Benbow &amp; D. Lubinski (Eds.), </w:t>
      </w:r>
      <w:r w:rsidRPr="00F40195">
        <w:rPr>
          <w:rFonts w:cs="Times New Roman"/>
          <w:i/>
          <w:iCs/>
        </w:rPr>
        <w:t>Intellectual talent</w:t>
      </w:r>
      <w:r w:rsidRPr="00F40195">
        <w:rPr>
          <w:rFonts w:cs="Times New Roman"/>
        </w:rPr>
        <w:t xml:space="preserve"> (pp. 83</w:t>
      </w:r>
      <w:r w:rsidRPr="00F40195">
        <w:rPr>
          <w:rStyle w:val="FontStyle28"/>
          <w:rFonts w:ascii="Times New Roman" w:hAnsi="Times New Roman" w:cs="Times New Roman"/>
        </w:rPr>
        <w:t>–</w:t>
      </w:r>
      <w:r w:rsidRPr="00F40195">
        <w:rPr>
          <w:rFonts w:cs="Times New Roman"/>
        </w:rPr>
        <w:t>92).</w:t>
      </w:r>
      <w:proofErr w:type="gramEnd"/>
      <w:r w:rsidRPr="00F40195">
        <w:rPr>
          <w:rFonts w:cs="Times New Roman"/>
        </w:rPr>
        <w:t xml:space="preserve"> Baltimore: Johns Hopkins Press.</w:t>
      </w:r>
    </w:p>
    <w:p w:rsidR="00513C41" w:rsidRPr="00F40195" w:rsidRDefault="00513C41" w:rsidP="00841252">
      <w:pPr>
        <w:spacing w:line="240" w:lineRule="auto"/>
        <w:ind w:left="720" w:hanging="720"/>
        <w:rPr>
          <w:rFonts w:cs="Times New Roman"/>
        </w:rPr>
      </w:pPr>
      <w:r w:rsidRPr="00F40195">
        <w:rPr>
          <w:rFonts w:cs="Times New Roman"/>
        </w:rPr>
        <w:t xml:space="preserve">Gallagher, James. (2002). </w:t>
      </w:r>
      <w:r w:rsidRPr="00F40195">
        <w:rPr>
          <w:rFonts w:cs="Times New Roman"/>
          <w:i/>
          <w:iCs/>
        </w:rPr>
        <w:t>Society’s role in educating gifted students:  The role of public policy</w:t>
      </w:r>
      <w:r w:rsidRPr="00F40195">
        <w:rPr>
          <w:rFonts w:cs="Times New Roman"/>
        </w:rPr>
        <w:t xml:space="preserve"> (RM02162). Storrs, CT:  The National Research Center on the Gifted and Talented, University of Connecticut.</w:t>
      </w:r>
    </w:p>
    <w:p w:rsidR="00513C41" w:rsidRPr="00F40195" w:rsidRDefault="00513C41" w:rsidP="00841252">
      <w:pPr>
        <w:spacing w:line="240" w:lineRule="auto"/>
        <w:ind w:left="720" w:hanging="720"/>
        <w:rPr>
          <w:rFonts w:cs="Times New Roman"/>
        </w:rPr>
      </w:pPr>
      <w:proofErr w:type="gramStart"/>
      <w:r w:rsidRPr="00F40195">
        <w:rPr>
          <w:rFonts w:cs="Times New Roman"/>
        </w:rPr>
        <w:t>Gallagher, Shelagh, &amp; Stepien, William.</w:t>
      </w:r>
      <w:proofErr w:type="gramEnd"/>
      <w:r w:rsidRPr="00F40195">
        <w:rPr>
          <w:rFonts w:cs="Times New Roman"/>
        </w:rPr>
        <w:t xml:space="preserve"> (1996). Content acquisition in problem-based learning: Depth versus breadth in American studies. </w:t>
      </w:r>
      <w:proofErr w:type="gramStart"/>
      <w:r w:rsidRPr="00F40195">
        <w:rPr>
          <w:rFonts w:cs="Times New Roman"/>
          <w:i/>
          <w:iCs/>
        </w:rPr>
        <w:t>Journal for the Education of the Gifted, 19</w:t>
      </w:r>
      <w:r w:rsidRPr="00F40195">
        <w:rPr>
          <w:rFonts w:cs="Times New Roman"/>
        </w:rPr>
        <w:t>, 257</w:t>
      </w:r>
      <w:r w:rsidRPr="00F40195">
        <w:rPr>
          <w:rStyle w:val="Emphasis"/>
          <w:rFonts w:cs="Times New Roman"/>
        </w:rPr>
        <w:t xml:space="preserve"> </w:t>
      </w:r>
      <w:r w:rsidRPr="00F40195">
        <w:rPr>
          <w:rStyle w:val="FontStyle28"/>
          <w:rFonts w:ascii="Times New Roman" w:hAnsi="Times New Roman" w:cs="Times New Roman"/>
        </w:rPr>
        <w:t>–</w:t>
      </w:r>
      <w:r w:rsidRPr="00F40195">
        <w:rPr>
          <w:rFonts w:cs="Times New Roman"/>
        </w:rPr>
        <w:t>275.</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lastRenderedPageBreak/>
        <w:t>Gallagher, Shelagh, Stepien, William, &amp; Rosenthal, Hilary.</w:t>
      </w:r>
      <w:proofErr w:type="gramEnd"/>
      <w:r w:rsidRPr="00F40195">
        <w:rPr>
          <w:rFonts w:cs="Times New Roman"/>
        </w:rPr>
        <w:t xml:space="preserve"> (1992). </w:t>
      </w:r>
      <w:proofErr w:type="gramStart"/>
      <w:r w:rsidRPr="00F40195">
        <w:rPr>
          <w:rFonts w:cs="Times New Roman"/>
        </w:rPr>
        <w:t>The</w:t>
      </w:r>
      <w:proofErr w:type="gramEnd"/>
      <w:r w:rsidRPr="00F40195">
        <w:rPr>
          <w:rFonts w:cs="Times New Roman"/>
        </w:rPr>
        <w:t xml:space="preserve"> effects of problem-based learning on problem solving. </w:t>
      </w:r>
      <w:proofErr w:type="gramStart"/>
      <w:r w:rsidRPr="00F40195">
        <w:rPr>
          <w:rFonts w:cs="Times New Roman"/>
          <w:i/>
          <w:iCs/>
        </w:rPr>
        <w:t>Gifted Child Quarterly, 36</w:t>
      </w:r>
      <w:r w:rsidRPr="00F40195">
        <w:rPr>
          <w:rFonts w:cs="Times New Roman"/>
        </w:rPr>
        <w:t>, 195-200.</w:t>
      </w:r>
      <w:proofErr w:type="gramEnd"/>
    </w:p>
    <w:p w:rsidR="006449F5" w:rsidRDefault="006449F5" w:rsidP="00841252">
      <w:pPr>
        <w:spacing w:line="240" w:lineRule="auto"/>
        <w:ind w:left="720" w:hanging="720"/>
        <w:rPr>
          <w:rFonts w:eastAsia="Times New Roman" w:cs="Times New Roman"/>
          <w:sz w:val="22"/>
        </w:rPr>
      </w:pPr>
      <w:proofErr w:type="gramStart"/>
      <w:r w:rsidRPr="00F40195">
        <w:rPr>
          <w:rFonts w:eastAsia="Times New Roman" w:cs="Times New Roman"/>
          <w:sz w:val="22"/>
        </w:rPr>
        <w:t>Gamoran, A., &amp; Long, D. A. (2006).</w:t>
      </w:r>
      <w:proofErr w:type="gramEnd"/>
      <w:r w:rsidRPr="00F40195">
        <w:rPr>
          <w:rFonts w:eastAsia="Times New Roman" w:cs="Times New Roman"/>
          <w:sz w:val="22"/>
        </w:rPr>
        <w:t xml:space="preserve"> Equality of Educational Opportunity: A 40-year </w:t>
      </w:r>
      <w:proofErr w:type="gramStart"/>
      <w:r w:rsidRPr="00F40195">
        <w:rPr>
          <w:rFonts w:eastAsia="Times New Roman" w:cs="Times New Roman"/>
          <w:sz w:val="22"/>
        </w:rPr>
        <w:t>retrospective(</w:t>
      </w:r>
      <w:proofErr w:type="gramEnd"/>
      <w:r w:rsidRPr="00F40195">
        <w:rPr>
          <w:rFonts w:eastAsia="Times New Roman" w:cs="Times New Roman"/>
          <w:sz w:val="22"/>
        </w:rPr>
        <w:t xml:space="preserve">WCER Working Paper No. 2006-9). Madison: University of Wisconsin–Madison, Wisconsin Center for Education Research. Retrieved March 26, 2014 from </w:t>
      </w:r>
      <w:hyperlink r:id="rId45" w:history="1">
        <w:r w:rsidR="00F76F53" w:rsidRPr="00397F6A">
          <w:rPr>
            <w:rStyle w:val="Hyperlink"/>
            <w:rFonts w:eastAsia="Times New Roman" w:cs="Times New Roman"/>
            <w:sz w:val="22"/>
          </w:rPr>
          <w:t>http://www.wcer.wisc.edu/publications/workingPapers/papers.php</w:t>
        </w:r>
      </w:hyperlink>
    </w:p>
    <w:p w:rsidR="00841252" w:rsidRDefault="00513C41" w:rsidP="00841252">
      <w:pPr>
        <w:spacing w:line="240" w:lineRule="auto"/>
        <w:rPr>
          <w:rFonts w:cs="Times New Roman"/>
        </w:rPr>
      </w:pPr>
      <w:proofErr w:type="gramStart"/>
      <w:r w:rsidRPr="00F40195">
        <w:rPr>
          <w:rFonts w:cs="Times New Roman"/>
        </w:rPr>
        <w:t>Gandara, Patricia, &amp; Rumberger, Russell W. (2008).</w:t>
      </w:r>
      <w:proofErr w:type="gramEnd"/>
      <w:r w:rsidRPr="00F40195">
        <w:rPr>
          <w:rFonts w:cs="Times New Roman"/>
        </w:rPr>
        <w:t xml:space="preserve"> Defining an adequate education for English </w:t>
      </w:r>
    </w:p>
    <w:p w:rsidR="00513C41" w:rsidRPr="00F40195" w:rsidRDefault="00513C41" w:rsidP="00841252">
      <w:pPr>
        <w:spacing w:line="240" w:lineRule="auto"/>
        <w:ind w:firstLine="720"/>
        <w:rPr>
          <w:rFonts w:cs="Times New Roman"/>
        </w:rPr>
      </w:pPr>
      <w:proofErr w:type="gramStart"/>
      <w:r w:rsidRPr="00F40195">
        <w:rPr>
          <w:rFonts w:cs="Times New Roman"/>
        </w:rPr>
        <w:t>learners</w:t>
      </w:r>
      <w:proofErr w:type="gramEnd"/>
      <w:r w:rsidRPr="00F40195">
        <w:rPr>
          <w:rFonts w:cs="Times New Roman"/>
        </w:rPr>
        <w:t xml:space="preserve">. </w:t>
      </w:r>
      <w:r w:rsidRPr="00F40195">
        <w:rPr>
          <w:rFonts w:cs="Times New Roman"/>
          <w:i/>
        </w:rPr>
        <w:t>Education Finance and Policy</w:t>
      </w:r>
      <w:r w:rsidRPr="00F40195">
        <w:rPr>
          <w:rFonts w:cs="Times New Roman"/>
        </w:rPr>
        <w:t>, 3(1), 130-148.</w:t>
      </w:r>
    </w:p>
    <w:p w:rsidR="00513C41" w:rsidRPr="00F40195" w:rsidRDefault="00513C41" w:rsidP="00841252">
      <w:pPr>
        <w:spacing w:line="240" w:lineRule="auto"/>
        <w:ind w:left="720" w:hanging="720"/>
        <w:rPr>
          <w:rFonts w:cs="Times New Roman"/>
        </w:rPr>
      </w:pPr>
      <w:proofErr w:type="gramStart"/>
      <w:r w:rsidRPr="00F40195">
        <w:rPr>
          <w:rFonts w:cs="Times New Roman"/>
        </w:rPr>
        <w:t>Gandara, Patricia, Rumberger, Russel, Maxwell-Jolly, Julie, &amp; Callahan, Rebecca.</w:t>
      </w:r>
      <w:proofErr w:type="gramEnd"/>
      <w:r w:rsidRPr="00F40195">
        <w:rPr>
          <w:rFonts w:cs="Times New Roman"/>
        </w:rPr>
        <w:t xml:space="preserve"> (2003). English learners in California schools: Unequal resources, unequal outcomes. </w:t>
      </w:r>
      <w:proofErr w:type="gramStart"/>
      <w:r w:rsidRPr="00F40195">
        <w:rPr>
          <w:rFonts w:cs="Times New Roman"/>
          <w:i/>
          <w:iCs/>
        </w:rPr>
        <w:t>Education Policy Analysis Archives,</w:t>
      </w:r>
      <w:r w:rsidRPr="00F40195">
        <w:rPr>
          <w:rFonts w:cs="Times New Roman"/>
        </w:rPr>
        <w:t xml:space="preserve"> </w:t>
      </w:r>
      <w:r w:rsidRPr="00F40195">
        <w:rPr>
          <w:rFonts w:cs="Times New Roman"/>
          <w:i/>
        </w:rPr>
        <w:t>11</w:t>
      </w:r>
      <w:r w:rsidRPr="00F40195">
        <w:rPr>
          <w:rFonts w:cs="Times New Roman"/>
        </w:rPr>
        <w:t>(3).</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Garet, Michael S., Birman, Beatrice, Porter, Andrew, Desimone, Laura, &amp; Herman, Rebecca.</w:t>
      </w:r>
      <w:proofErr w:type="gramEnd"/>
      <w:r w:rsidRPr="00F40195">
        <w:rPr>
          <w:rFonts w:cs="Times New Roman"/>
        </w:rPr>
        <w:t xml:space="preserve"> (1999). </w:t>
      </w:r>
      <w:r w:rsidRPr="00F40195">
        <w:rPr>
          <w:rFonts w:cs="Times New Roman"/>
          <w:i/>
          <w:iCs/>
        </w:rPr>
        <w:t>Designing effective professional development:  Lessons from the Eisenhower Program</w:t>
      </w:r>
      <w:r w:rsidRPr="00F40195">
        <w:rPr>
          <w:rFonts w:cs="Times New Roman"/>
        </w:rPr>
        <w:t>. Washington, DC: United States Department of Education.</w:t>
      </w:r>
    </w:p>
    <w:p w:rsidR="00513C41" w:rsidRPr="00F40195" w:rsidRDefault="00513C41" w:rsidP="00841252">
      <w:pPr>
        <w:spacing w:line="240" w:lineRule="auto"/>
        <w:ind w:left="720" w:hanging="720"/>
        <w:rPr>
          <w:rFonts w:cs="Times New Roman"/>
        </w:rPr>
      </w:pPr>
      <w:proofErr w:type="gramStart"/>
      <w:r w:rsidRPr="00F40195">
        <w:rPr>
          <w:rFonts w:cs="Times New Roman"/>
        </w:rPr>
        <w:t>Gerber, Susan, Finn, Jeremy, Achilles, Charles, &amp; Boyd-Zaharias, Jane (2001).</w:t>
      </w:r>
      <w:proofErr w:type="gramEnd"/>
      <w:r w:rsidRPr="00F40195">
        <w:rPr>
          <w:rFonts w:cs="Times New Roman"/>
        </w:rPr>
        <w:t xml:space="preserve"> </w:t>
      </w:r>
      <w:proofErr w:type="gramStart"/>
      <w:r w:rsidRPr="00F40195">
        <w:rPr>
          <w:rFonts w:cs="Times New Roman"/>
        </w:rPr>
        <w:t>Teacher aides and students’ academic achievement.</w:t>
      </w:r>
      <w:proofErr w:type="gramEnd"/>
      <w:r w:rsidRPr="00F40195">
        <w:rPr>
          <w:rFonts w:cs="Times New Roman"/>
        </w:rPr>
        <w:t xml:space="preserve"> </w:t>
      </w:r>
      <w:r w:rsidRPr="00F40195">
        <w:rPr>
          <w:rFonts w:cs="Times New Roman"/>
          <w:i/>
        </w:rPr>
        <w:t>Educational Evaluation and Policy Analysis, 23</w:t>
      </w:r>
      <w:r w:rsidRPr="00F40195">
        <w:rPr>
          <w:rFonts w:cs="Times New Roman"/>
        </w:rPr>
        <w:t>(2), 123–143.</w:t>
      </w:r>
    </w:p>
    <w:p w:rsidR="00513C41" w:rsidRPr="00F40195" w:rsidRDefault="00513C41" w:rsidP="00841252">
      <w:pPr>
        <w:spacing w:line="240" w:lineRule="auto"/>
        <w:ind w:left="720" w:hanging="720"/>
        <w:rPr>
          <w:rFonts w:cs="Times New Roman"/>
        </w:rPr>
      </w:pPr>
      <w:r w:rsidRPr="00F40195">
        <w:rPr>
          <w:rFonts w:cs="Times New Roman"/>
        </w:rPr>
        <w:t xml:space="preserve">Gersten, Russell, Ed. (2006). </w:t>
      </w:r>
      <w:proofErr w:type="gramStart"/>
      <w:r w:rsidRPr="00F40195">
        <w:rPr>
          <w:rFonts w:cs="Times New Roman"/>
          <w:i/>
        </w:rPr>
        <w:t>Elementary School Journal</w:t>
      </w:r>
      <w:r w:rsidRPr="00F40195">
        <w:rPr>
          <w:rFonts w:cs="Times New Roman"/>
        </w:rPr>
        <w:t>.</w:t>
      </w:r>
      <w:proofErr w:type="gramEnd"/>
      <w:r w:rsidRPr="00F40195">
        <w:rPr>
          <w:rFonts w:cs="Times New Roman"/>
        </w:rPr>
        <w:t xml:space="preserve"> </w:t>
      </w:r>
      <w:proofErr w:type="gramStart"/>
      <w:r w:rsidRPr="00F40195">
        <w:rPr>
          <w:rFonts w:cs="Times New Roman"/>
        </w:rPr>
        <w:t>Entire Issue.</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Glazerman, S., Protik, A., Theh, B., Bruch, J., and Seftor, N. Moving High-Performing Teachers: Implementation of Transfer Incentives in Seven Districts (NCEE 2012-4051). Washington, DC: National Center for Education Evaluation and Regional Assistance, Institute of Education Sciences, U.S. Department of Education. </w:t>
      </w:r>
    </w:p>
    <w:p w:rsidR="00513C41" w:rsidRPr="00F40195" w:rsidRDefault="00513C41" w:rsidP="00841252">
      <w:pPr>
        <w:spacing w:line="240" w:lineRule="auto"/>
        <w:ind w:left="720" w:hanging="720"/>
        <w:rPr>
          <w:rFonts w:cs="Times New Roman"/>
        </w:rPr>
      </w:pPr>
      <w:proofErr w:type="gramStart"/>
      <w:r w:rsidRPr="00F40195">
        <w:rPr>
          <w:rFonts w:cs="Times New Roman"/>
        </w:rPr>
        <w:t>Goldhaber, Dan &amp; Anthony, E</w:t>
      </w:r>
      <w:r w:rsidR="009739FE" w:rsidRPr="00F40195">
        <w:rPr>
          <w:rFonts w:cs="Times New Roman"/>
        </w:rPr>
        <w:t xml:space="preserve">. </w:t>
      </w:r>
      <w:r w:rsidRPr="00F40195">
        <w:rPr>
          <w:rFonts w:cs="Times New Roman"/>
        </w:rPr>
        <w:t>(2004)</w:t>
      </w:r>
      <w:r w:rsidR="009739FE" w:rsidRPr="00F40195">
        <w:rPr>
          <w:rFonts w:cs="Times New Roman"/>
        </w:rPr>
        <w:t>.</w:t>
      </w:r>
      <w:proofErr w:type="gramEnd"/>
      <w:r w:rsidR="009739FE" w:rsidRPr="00F40195">
        <w:rPr>
          <w:rFonts w:cs="Times New Roman"/>
        </w:rPr>
        <w:t xml:space="preserve"> </w:t>
      </w:r>
      <w:r w:rsidRPr="00F40195">
        <w:rPr>
          <w:rFonts w:cs="Times New Roman"/>
        </w:rPr>
        <w:t>Can Teacher Quality be Effectively Assessed? Washington, D.C.: Urban Institute.</w:t>
      </w:r>
    </w:p>
    <w:p w:rsidR="00513C41" w:rsidRPr="00F40195" w:rsidRDefault="00513C41" w:rsidP="00841252">
      <w:pPr>
        <w:spacing w:line="240" w:lineRule="auto"/>
        <w:ind w:left="720" w:hanging="720"/>
        <w:rPr>
          <w:rFonts w:cs="Times New Roman"/>
        </w:rPr>
      </w:pPr>
      <w:r w:rsidRPr="00F40195">
        <w:rPr>
          <w:rFonts w:cs="Times New Roman"/>
        </w:rPr>
        <w:t xml:space="preserve">Gordon, Edwin E. (2009). </w:t>
      </w:r>
      <w:proofErr w:type="gramStart"/>
      <w:r w:rsidRPr="00F40195">
        <w:rPr>
          <w:rFonts w:cs="Times New Roman"/>
        </w:rPr>
        <w:t>5 ways to improve tutoring programs.</w:t>
      </w:r>
      <w:proofErr w:type="gramEnd"/>
      <w:r w:rsidRPr="00F40195">
        <w:rPr>
          <w:rFonts w:cs="Times New Roman"/>
        </w:rPr>
        <w:t xml:space="preserve"> </w:t>
      </w:r>
      <w:r w:rsidRPr="00F40195">
        <w:rPr>
          <w:rStyle w:val="HTMLCite"/>
          <w:rFonts w:cs="Times New Roman"/>
        </w:rPr>
        <w:t>Phi Delta Kappan</w:t>
      </w:r>
      <w:proofErr w:type="gramStart"/>
      <w:r w:rsidRPr="00F40195">
        <w:rPr>
          <w:rStyle w:val="HTMLCite"/>
          <w:rFonts w:cs="Times New Roman"/>
        </w:rPr>
        <w:t xml:space="preserve">, </w:t>
      </w:r>
      <w:r w:rsidRPr="00F40195">
        <w:rPr>
          <w:rStyle w:val="slug-vol"/>
          <w:rFonts w:cs="Times New Roman"/>
          <w:i/>
          <w:iCs/>
        </w:rPr>
        <w:t xml:space="preserve"> </w:t>
      </w:r>
      <w:r w:rsidRPr="00F40195">
        <w:rPr>
          <w:rStyle w:val="slug-vol"/>
          <w:rFonts w:cs="Times New Roman"/>
          <w:iCs/>
        </w:rPr>
        <w:t>90</w:t>
      </w:r>
      <w:proofErr w:type="gramEnd"/>
      <w:r w:rsidRPr="00F40195">
        <w:rPr>
          <w:rStyle w:val="slug-vol"/>
          <w:rFonts w:cs="Times New Roman"/>
          <w:iCs/>
        </w:rPr>
        <w:t>(</w:t>
      </w:r>
      <w:r w:rsidRPr="00F40195">
        <w:rPr>
          <w:rStyle w:val="slug-issue"/>
          <w:rFonts w:cs="Times New Roman"/>
          <w:iCs/>
        </w:rPr>
        <w:t xml:space="preserve">6), </w:t>
      </w:r>
      <w:r w:rsidRPr="00F40195">
        <w:rPr>
          <w:rStyle w:val="slug-pages"/>
          <w:rFonts w:cs="Times New Roman"/>
          <w:iCs/>
        </w:rPr>
        <w:t>440-445.</w:t>
      </w:r>
    </w:p>
    <w:p w:rsidR="00513C41" w:rsidRPr="00F40195" w:rsidRDefault="00513C41" w:rsidP="00841252">
      <w:pPr>
        <w:spacing w:line="240" w:lineRule="auto"/>
        <w:ind w:left="720" w:hanging="720"/>
        <w:rPr>
          <w:rFonts w:cs="Times New Roman"/>
        </w:rPr>
      </w:pPr>
      <w:proofErr w:type="gramStart"/>
      <w:r w:rsidRPr="00F40195">
        <w:rPr>
          <w:rFonts w:cs="Times New Roman"/>
        </w:rPr>
        <w:t>Gowanda Central School District.</w:t>
      </w:r>
      <w:proofErr w:type="gramEnd"/>
      <w:r w:rsidRPr="00F40195">
        <w:rPr>
          <w:rFonts w:cs="Times New Roman"/>
        </w:rPr>
        <w:t xml:space="preserve"> </w:t>
      </w:r>
      <w:proofErr w:type="gramStart"/>
      <w:r w:rsidRPr="00F40195">
        <w:rPr>
          <w:rFonts w:cs="Times New Roman"/>
        </w:rPr>
        <w:t>(2013). Academic Assistance Services Program/Johnson-O’Malley (AASP/JOM) Home Page</w:t>
      </w:r>
      <w:r w:rsidR="009739FE" w:rsidRPr="00F40195">
        <w:rPr>
          <w:rFonts w:cs="Times New Roman"/>
        </w:rPr>
        <w:t>.</w:t>
      </w:r>
      <w:proofErr w:type="gramEnd"/>
      <w:r w:rsidR="009739FE" w:rsidRPr="00F40195">
        <w:rPr>
          <w:rFonts w:cs="Times New Roman"/>
        </w:rPr>
        <w:t xml:space="preserve"> </w:t>
      </w:r>
      <w:r w:rsidRPr="00F40195">
        <w:rPr>
          <w:rFonts w:cs="Times New Roman"/>
        </w:rPr>
        <w:t>http://www.gowcsd.org/support.cfm?subpage=205356</w:t>
      </w:r>
    </w:p>
    <w:p w:rsidR="00513C41" w:rsidRPr="00F40195" w:rsidRDefault="00513C41" w:rsidP="00841252">
      <w:pPr>
        <w:spacing w:line="240" w:lineRule="auto"/>
        <w:ind w:left="720" w:hanging="720"/>
        <w:rPr>
          <w:rFonts w:cs="Times New Roman"/>
        </w:rPr>
      </w:pPr>
      <w:proofErr w:type="gramStart"/>
      <w:r w:rsidRPr="00F40195">
        <w:rPr>
          <w:rFonts w:cs="Times New Roman"/>
        </w:rPr>
        <w:t>Griffith, Michael and Emily Workman (2013), Education Commission of the States.</w:t>
      </w:r>
      <w:proofErr w:type="gramEnd"/>
      <w:r w:rsidRPr="00F40195">
        <w:rPr>
          <w:rFonts w:cs="Times New Roman"/>
        </w:rPr>
        <w:t xml:space="preserve"> </w:t>
      </w:r>
      <w:r w:rsidRPr="00F40195">
        <w:rPr>
          <w:rFonts w:cs="Times New Roman"/>
          <w:i/>
          <w:iCs/>
        </w:rPr>
        <w:t>At-Risk Funding – A Fifty State Survey</w:t>
      </w:r>
      <w:r w:rsidRPr="00F40195">
        <w:rPr>
          <w:rFonts w:cs="Times New Roman"/>
        </w:rPr>
        <w:t xml:space="preserve">. </w:t>
      </w:r>
      <w:proofErr w:type="gramStart"/>
      <w:r w:rsidRPr="00F40195">
        <w:rPr>
          <w:rFonts w:cs="Times New Roman"/>
        </w:rPr>
        <w:t>Unpublished manuscript.</w:t>
      </w:r>
      <w:proofErr w:type="gramEnd"/>
    </w:p>
    <w:p w:rsidR="00513C41" w:rsidRPr="00F40195" w:rsidRDefault="00513C41" w:rsidP="00841252">
      <w:pPr>
        <w:spacing w:line="240" w:lineRule="auto"/>
        <w:ind w:left="720" w:hanging="720"/>
        <w:rPr>
          <w:rFonts w:cs="Times New Roman"/>
        </w:rPr>
      </w:pPr>
      <w:r w:rsidRPr="00F40195">
        <w:rPr>
          <w:rFonts w:cs="Times New Roman"/>
        </w:rPr>
        <w:t xml:space="preserve">Grissmer, David. (1999). Class size: Issues and new findings. </w:t>
      </w:r>
      <w:proofErr w:type="gramStart"/>
      <w:r w:rsidRPr="00F40195">
        <w:rPr>
          <w:rFonts w:cs="Times New Roman"/>
          <w:i/>
        </w:rPr>
        <w:t>Educational Evaluation and Policy Analysis, 21</w:t>
      </w:r>
      <w:r w:rsidRPr="00F40195">
        <w:rPr>
          <w:rFonts w:cs="Times New Roman"/>
        </w:rPr>
        <w:t>(2).</w:t>
      </w:r>
      <w:proofErr w:type="gramEnd"/>
      <w:r w:rsidRPr="00F40195">
        <w:rPr>
          <w:rFonts w:cs="Times New Roman"/>
        </w:rPr>
        <w:t xml:space="preserve"> </w:t>
      </w:r>
      <w:proofErr w:type="gramStart"/>
      <w:r w:rsidRPr="00F40195">
        <w:rPr>
          <w:rFonts w:cs="Times New Roman"/>
        </w:rPr>
        <w:t>(Entire issue.)</w:t>
      </w:r>
      <w:proofErr w:type="gramEnd"/>
    </w:p>
    <w:p w:rsidR="00513C41" w:rsidRPr="00F40195" w:rsidRDefault="00513C41" w:rsidP="00841252">
      <w:pPr>
        <w:spacing w:line="240" w:lineRule="auto"/>
        <w:ind w:left="720" w:hanging="720"/>
        <w:rPr>
          <w:rFonts w:cs="Times New Roman"/>
        </w:rPr>
      </w:pPr>
      <w:r w:rsidRPr="00F40195">
        <w:rPr>
          <w:rFonts w:cs="Times New Roman"/>
        </w:rPr>
        <w:t xml:space="preserve">Gullo, Dominic. (2000). </w:t>
      </w:r>
      <w:proofErr w:type="gramStart"/>
      <w:r w:rsidRPr="00F40195">
        <w:rPr>
          <w:rFonts w:cs="Times New Roman"/>
        </w:rPr>
        <w:t>The</w:t>
      </w:r>
      <w:proofErr w:type="gramEnd"/>
      <w:r w:rsidRPr="00F40195">
        <w:rPr>
          <w:rFonts w:cs="Times New Roman"/>
        </w:rPr>
        <w:t xml:space="preserve"> long-term effects of full-school-day kindergarten on student achievement: A meta-analysis. </w:t>
      </w:r>
      <w:r w:rsidRPr="00F40195">
        <w:rPr>
          <w:rFonts w:cs="Times New Roman"/>
          <w:i/>
          <w:iCs/>
        </w:rPr>
        <w:t>Early Child Development and Care,</w:t>
      </w:r>
      <w:r w:rsidRPr="00F40195">
        <w:rPr>
          <w:rFonts w:cs="Times New Roman"/>
        </w:rPr>
        <w:t xml:space="preserve"> </w:t>
      </w:r>
      <w:r w:rsidRPr="00F40195">
        <w:rPr>
          <w:rFonts w:cs="Times New Roman"/>
          <w:i/>
        </w:rPr>
        <w:t>160</w:t>
      </w:r>
      <w:r w:rsidRPr="00F40195">
        <w:rPr>
          <w:rFonts w:cs="Times New Roman"/>
        </w:rPr>
        <w:t>(1), 17-24.</w:t>
      </w:r>
    </w:p>
    <w:p w:rsidR="00513C41" w:rsidRPr="00F40195" w:rsidRDefault="00513C41" w:rsidP="00841252">
      <w:pPr>
        <w:spacing w:line="240" w:lineRule="auto"/>
        <w:ind w:left="720" w:hanging="720"/>
        <w:rPr>
          <w:rFonts w:cs="Times New Roman"/>
        </w:rPr>
      </w:pPr>
      <w:r w:rsidRPr="00F40195">
        <w:rPr>
          <w:rFonts w:cs="Times New Roman"/>
        </w:rPr>
        <w:t xml:space="preserve">Guthrie, James W. (1979). </w:t>
      </w:r>
      <w:proofErr w:type="gramStart"/>
      <w:r w:rsidRPr="00F40195">
        <w:rPr>
          <w:rFonts w:cs="Times New Roman"/>
        </w:rPr>
        <w:t>Organizational scale and school success.</w:t>
      </w:r>
      <w:proofErr w:type="gramEnd"/>
      <w:r w:rsidRPr="00F40195">
        <w:rPr>
          <w:rFonts w:cs="Times New Roman"/>
        </w:rPr>
        <w:t xml:space="preserve"> </w:t>
      </w:r>
      <w:r w:rsidRPr="00F40195">
        <w:rPr>
          <w:rFonts w:cs="Times New Roman"/>
          <w:i/>
        </w:rPr>
        <w:t>Educational Evaluation and Policy Analysis, 1</w:t>
      </w:r>
      <w:r w:rsidRPr="00F40195">
        <w:rPr>
          <w:rFonts w:cs="Times New Roman"/>
        </w:rPr>
        <w:t>(1), 17–27.</w:t>
      </w:r>
    </w:p>
    <w:p w:rsidR="00513C41" w:rsidRPr="00F40195" w:rsidRDefault="00513C41" w:rsidP="00841252">
      <w:pPr>
        <w:spacing w:line="240" w:lineRule="auto"/>
        <w:ind w:left="720" w:hanging="720"/>
        <w:rPr>
          <w:rFonts w:cs="Times New Roman"/>
        </w:rPr>
      </w:pPr>
      <w:r w:rsidRPr="00F40195">
        <w:rPr>
          <w:rFonts w:cs="Times New Roman"/>
        </w:rPr>
        <w:t xml:space="preserve">Hakuta, Kenji. (2011). </w:t>
      </w:r>
      <w:proofErr w:type="gramStart"/>
      <w:r w:rsidRPr="00F40195">
        <w:rPr>
          <w:rFonts w:cs="Times New Roman"/>
        </w:rPr>
        <w:t>Educating</w:t>
      </w:r>
      <w:proofErr w:type="gramEnd"/>
      <w:r w:rsidRPr="00F40195">
        <w:rPr>
          <w:rFonts w:cs="Times New Roman"/>
        </w:rPr>
        <w:t xml:space="preserve"> language minority students and affirming their equal rights: Research and practical perspectives. </w:t>
      </w:r>
      <w:r w:rsidRPr="00F40195">
        <w:rPr>
          <w:rFonts w:cs="Times New Roman"/>
          <w:i/>
        </w:rPr>
        <w:t>Educational Researcher, 40</w:t>
      </w:r>
      <w:r w:rsidRPr="00F40195">
        <w:rPr>
          <w:rFonts w:cs="Times New Roman"/>
        </w:rPr>
        <w:t xml:space="preserve">(4), 163-174. </w:t>
      </w:r>
    </w:p>
    <w:p w:rsidR="00513C41" w:rsidRPr="00F40195" w:rsidRDefault="00513C41" w:rsidP="00841252">
      <w:pPr>
        <w:spacing w:line="240" w:lineRule="auto"/>
        <w:ind w:left="720" w:hanging="720"/>
        <w:rPr>
          <w:rFonts w:cs="Times New Roman"/>
        </w:rPr>
      </w:pPr>
      <w:proofErr w:type="gramStart"/>
      <w:r w:rsidRPr="00F40195">
        <w:rPr>
          <w:rFonts w:cs="Times New Roman"/>
        </w:rPr>
        <w:t>Hansen, Jan, &amp; Feldhusen, John F. (1994).</w:t>
      </w:r>
      <w:proofErr w:type="gramEnd"/>
      <w:r w:rsidRPr="00F40195">
        <w:rPr>
          <w:rFonts w:cs="Times New Roman"/>
        </w:rPr>
        <w:t xml:space="preserve"> </w:t>
      </w:r>
      <w:proofErr w:type="gramStart"/>
      <w:r w:rsidRPr="00F40195">
        <w:rPr>
          <w:rFonts w:cs="Times New Roman"/>
        </w:rPr>
        <w:t>Comparison of trained and untrained teachers.</w:t>
      </w:r>
      <w:proofErr w:type="gramEnd"/>
      <w:r w:rsidRPr="00F40195">
        <w:rPr>
          <w:rFonts w:cs="Times New Roman"/>
        </w:rPr>
        <w:t xml:space="preserve"> </w:t>
      </w:r>
      <w:proofErr w:type="gramStart"/>
      <w:r w:rsidRPr="00F40195">
        <w:rPr>
          <w:rFonts w:cs="Times New Roman"/>
          <w:i/>
          <w:iCs/>
        </w:rPr>
        <w:t>Gifted Child Quarterly</w:t>
      </w:r>
      <w:r w:rsidRPr="00F40195">
        <w:rPr>
          <w:rFonts w:cs="Times New Roman"/>
        </w:rPr>
        <w:t xml:space="preserve">, </w:t>
      </w:r>
      <w:r w:rsidRPr="00F40195">
        <w:rPr>
          <w:rFonts w:cs="Times New Roman"/>
          <w:i/>
        </w:rPr>
        <w:t>38</w:t>
      </w:r>
      <w:r w:rsidRPr="00F40195">
        <w:rPr>
          <w:rFonts w:cs="Times New Roman"/>
        </w:rPr>
        <w:t>(3), 115</w:t>
      </w:r>
      <w:r w:rsidRPr="00F40195">
        <w:rPr>
          <w:rStyle w:val="FontStyle28"/>
          <w:rFonts w:ascii="Times New Roman" w:hAnsi="Times New Roman" w:cs="Times New Roman"/>
        </w:rPr>
        <w:t>–</w:t>
      </w:r>
      <w:r w:rsidRPr="00F40195">
        <w:rPr>
          <w:rFonts w:cs="Times New Roman"/>
        </w:rPr>
        <w:t>121.</w:t>
      </w:r>
      <w:proofErr w:type="gramEnd"/>
    </w:p>
    <w:p w:rsidR="00513C41" w:rsidRPr="00F40195" w:rsidRDefault="00513C41" w:rsidP="00841252">
      <w:pPr>
        <w:spacing w:line="240" w:lineRule="auto"/>
        <w:ind w:left="720" w:hanging="720"/>
        <w:rPr>
          <w:rFonts w:cs="Times New Roman"/>
        </w:rPr>
      </w:pPr>
      <w:r w:rsidRPr="00F40195">
        <w:rPr>
          <w:rFonts w:cs="Times New Roman"/>
        </w:rPr>
        <w:t>Hansen, M.L., Lien, D. S., Cavaluzzo, L. C.</w:t>
      </w:r>
      <w:proofErr w:type="gramStart"/>
      <w:r w:rsidRPr="00F40195">
        <w:rPr>
          <w:rFonts w:cs="Times New Roman"/>
        </w:rPr>
        <w:t>,  &amp;</w:t>
      </w:r>
      <w:proofErr w:type="gramEnd"/>
      <w:r w:rsidRPr="00F40195">
        <w:rPr>
          <w:rFonts w:cs="Times New Roman"/>
        </w:rPr>
        <w:t xml:space="preserve"> Wenger, J.W</w:t>
      </w:r>
      <w:r w:rsidR="009739FE" w:rsidRPr="00F40195">
        <w:rPr>
          <w:rFonts w:cs="Times New Roman"/>
        </w:rPr>
        <w:t xml:space="preserve">. </w:t>
      </w:r>
      <w:r w:rsidRPr="00F40195">
        <w:rPr>
          <w:rFonts w:cs="Times New Roman"/>
        </w:rPr>
        <w:t>(2004). Relative pay and teacher retention: An empirical analysis in a larger urban district. Alexandria, VA: The CNA Corporation.</w:t>
      </w:r>
    </w:p>
    <w:p w:rsidR="00513C41" w:rsidRPr="00F40195" w:rsidRDefault="00513C41" w:rsidP="00841252">
      <w:pPr>
        <w:spacing w:line="240" w:lineRule="auto"/>
        <w:ind w:left="720" w:hanging="720"/>
        <w:rPr>
          <w:rFonts w:cs="Times New Roman"/>
        </w:rPr>
      </w:pPr>
      <w:proofErr w:type="gramStart"/>
      <w:r w:rsidRPr="00F40195">
        <w:rPr>
          <w:rFonts w:cs="Times New Roman"/>
        </w:rPr>
        <w:lastRenderedPageBreak/>
        <w:t>Hanushek, E.A., Kain, J.F., &amp; Rivkin, S.G. (2004).</w:t>
      </w:r>
      <w:proofErr w:type="gramEnd"/>
      <w:r w:rsidRPr="00F40195">
        <w:rPr>
          <w:rFonts w:cs="Times New Roman"/>
        </w:rPr>
        <w:t xml:space="preserve"> Why public schools lose teachers. The Journal of Human Resources, 39</w:t>
      </w:r>
      <w:proofErr w:type="gramStart"/>
      <w:r w:rsidRPr="00F40195">
        <w:rPr>
          <w:rFonts w:cs="Times New Roman"/>
        </w:rPr>
        <w:t>,2</w:t>
      </w:r>
      <w:proofErr w:type="gramEnd"/>
      <w:r w:rsidRPr="00F40195">
        <w:rPr>
          <w:rFonts w:cs="Times New Roman"/>
        </w:rPr>
        <w:t>, 326-354.</w:t>
      </w:r>
    </w:p>
    <w:p w:rsidR="00513C41" w:rsidRPr="00F40195" w:rsidDel="00E45A9B" w:rsidRDefault="00513C41" w:rsidP="00841252">
      <w:pPr>
        <w:spacing w:line="240" w:lineRule="auto"/>
        <w:ind w:left="720" w:hanging="720"/>
        <w:rPr>
          <w:rFonts w:cs="Times New Roman"/>
        </w:rPr>
      </w:pPr>
      <w:r w:rsidRPr="00F40195">
        <w:rPr>
          <w:rFonts w:cs="Times New Roman"/>
        </w:rPr>
        <w:t xml:space="preserve">Hanushek, Eric. </w:t>
      </w:r>
      <w:proofErr w:type="gramStart"/>
      <w:r w:rsidRPr="00F40195">
        <w:rPr>
          <w:rFonts w:cs="Times New Roman"/>
        </w:rPr>
        <w:t>(2002). Evidence, politics and the class size debate.</w:t>
      </w:r>
      <w:proofErr w:type="gramEnd"/>
      <w:r w:rsidRPr="00F40195">
        <w:rPr>
          <w:rFonts w:cs="Times New Roman"/>
        </w:rPr>
        <w:t xml:space="preserve"> In Lawrence Mishel &amp; Richard Rothstein (Eds.), </w:t>
      </w:r>
      <w:proofErr w:type="gramStart"/>
      <w:r w:rsidRPr="00F40195">
        <w:rPr>
          <w:rFonts w:cs="Times New Roman"/>
          <w:i/>
        </w:rPr>
        <w:t>The</w:t>
      </w:r>
      <w:proofErr w:type="gramEnd"/>
      <w:r w:rsidRPr="00F40195">
        <w:rPr>
          <w:rFonts w:cs="Times New Roman"/>
          <w:i/>
        </w:rPr>
        <w:t xml:space="preserve"> class size debate </w:t>
      </w:r>
      <w:r w:rsidRPr="00F40195">
        <w:rPr>
          <w:rFonts w:cs="Times New Roman"/>
        </w:rPr>
        <w:t>(pp. 37–65). Washington, DC: Economic Policy Institute.</w:t>
      </w:r>
    </w:p>
    <w:p w:rsidR="00513C41" w:rsidRPr="00F40195" w:rsidRDefault="00513C41" w:rsidP="00841252">
      <w:pPr>
        <w:spacing w:line="240" w:lineRule="auto"/>
        <w:ind w:left="720" w:hanging="720"/>
        <w:rPr>
          <w:rFonts w:cs="Times New Roman"/>
        </w:rPr>
      </w:pPr>
      <w:proofErr w:type="gramStart"/>
      <w:r w:rsidRPr="00F40195">
        <w:rPr>
          <w:rFonts w:cs="Times New Roman"/>
        </w:rPr>
        <w:t>Harris, D.N., &amp; Adams, S.J. (2007).</w:t>
      </w:r>
      <w:proofErr w:type="gramEnd"/>
      <w:r w:rsidRPr="00F40195">
        <w:rPr>
          <w:rFonts w:cs="Times New Roman"/>
        </w:rPr>
        <w:t xml:space="preserve"> </w:t>
      </w:r>
      <w:proofErr w:type="gramStart"/>
      <w:r w:rsidRPr="00F40195">
        <w:rPr>
          <w:rFonts w:cs="Times New Roman"/>
        </w:rPr>
        <w:t>Understanding the level and causes of teacher turnover: A comparison with other professions.</w:t>
      </w:r>
      <w:proofErr w:type="gramEnd"/>
      <w:r w:rsidRPr="00F40195">
        <w:rPr>
          <w:rFonts w:cs="Times New Roman"/>
        </w:rPr>
        <w:t xml:space="preserve"> Economics of Education Review, 26, 325-337.</w:t>
      </w:r>
    </w:p>
    <w:p w:rsidR="00513C41" w:rsidRPr="00F40195" w:rsidRDefault="00513C41" w:rsidP="00841252">
      <w:pPr>
        <w:spacing w:line="240" w:lineRule="auto"/>
        <w:ind w:left="720" w:hanging="720"/>
        <w:rPr>
          <w:rFonts w:cs="Times New Roman"/>
        </w:rPr>
      </w:pPr>
      <w:r w:rsidRPr="00F40195">
        <w:rPr>
          <w:rFonts w:cs="Times New Roman"/>
        </w:rPr>
        <w:t xml:space="preserve">Hendricks, M.D. (2012). Does it pay to pay teachers more? </w:t>
      </w:r>
      <w:proofErr w:type="gramStart"/>
      <w:r w:rsidRPr="00F40195">
        <w:rPr>
          <w:rFonts w:cs="Times New Roman"/>
        </w:rPr>
        <w:t>Evidence from Texas.</w:t>
      </w:r>
      <w:proofErr w:type="gramEnd"/>
      <w:r w:rsidRPr="00F40195">
        <w:rPr>
          <w:rFonts w:cs="Times New Roman"/>
        </w:rPr>
        <w:t xml:space="preserve"> </w:t>
      </w:r>
      <w:proofErr w:type="gramStart"/>
      <w:r w:rsidRPr="00F40195">
        <w:rPr>
          <w:rFonts w:cs="Times New Roman"/>
        </w:rPr>
        <w:t>Unpublished revision of conference paper provided by the author.</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Heyns, Barbara. (1978). </w:t>
      </w:r>
      <w:r w:rsidRPr="00F40195">
        <w:rPr>
          <w:rFonts w:cs="Times New Roman"/>
          <w:i/>
        </w:rPr>
        <w:t xml:space="preserve">Summer learning and the effects of schooling. </w:t>
      </w:r>
      <w:r w:rsidRPr="00F40195">
        <w:rPr>
          <w:rFonts w:cs="Times New Roman"/>
        </w:rPr>
        <w:t xml:space="preserve">New York: Academic Press </w:t>
      </w:r>
    </w:p>
    <w:p w:rsidR="00513C41" w:rsidRPr="00F40195" w:rsidRDefault="00513C41" w:rsidP="00841252">
      <w:pPr>
        <w:spacing w:line="240" w:lineRule="auto"/>
        <w:ind w:left="720" w:hanging="720"/>
        <w:rPr>
          <w:rFonts w:cs="Times New Roman"/>
        </w:rPr>
      </w:pPr>
      <w:r w:rsidRPr="00F40195">
        <w:rPr>
          <w:rFonts w:cs="Times New Roman"/>
        </w:rPr>
        <w:t xml:space="preserve">Imazeki, J. J. (2005). </w:t>
      </w:r>
      <w:proofErr w:type="gramStart"/>
      <w:r w:rsidRPr="00F40195">
        <w:rPr>
          <w:rFonts w:cs="Times New Roman"/>
        </w:rPr>
        <w:t>Teacher Salaries and Teacher Attrition.</w:t>
      </w:r>
      <w:proofErr w:type="gramEnd"/>
      <w:r w:rsidRPr="00F40195">
        <w:rPr>
          <w:rFonts w:cs="Times New Roman"/>
        </w:rPr>
        <w:t xml:space="preserve"> Economics of Education Review, 24(4), 431-449. </w:t>
      </w:r>
    </w:p>
    <w:p w:rsidR="00513C41" w:rsidRPr="00F40195" w:rsidRDefault="00513C41" w:rsidP="00841252">
      <w:pPr>
        <w:spacing w:line="240" w:lineRule="auto"/>
        <w:ind w:left="720" w:hanging="720"/>
        <w:rPr>
          <w:rFonts w:cs="Times New Roman"/>
        </w:rPr>
      </w:pPr>
      <w:r w:rsidRPr="00F40195">
        <w:rPr>
          <w:rFonts w:cs="Times New Roman"/>
        </w:rPr>
        <w:t xml:space="preserve">Imazeki, Jennifer. </w:t>
      </w:r>
      <w:proofErr w:type="gramStart"/>
      <w:r w:rsidRPr="00F40195">
        <w:rPr>
          <w:rFonts w:cs="Times New Roman"/>
        </w:rPr>
        <w:t xml:space="preserve">(2006). </w:t>
      </w:r>
      <w:r w:rsidRPr="00F40195">
        <w:rPr>
          <w:rFonts w:cs="Times New Roman"/>
          <w:i/>
        </w:rPr>
        <w:t>Regional adjustments for Washington state</w:t>
      </w:r>
      <w:r w:rsidRPr="00F40195">
        <w:rPr>
          <w:rFonts w:cs="Times New Roman"/>
        </w:rPr>
        <w:t>.</w:t>
      </w:r>
      <w:proofErr w:type="gramEnd"/>
      <w:r w:rsidRPr="00F40195">
        <w:rPr>
          <w:rFonts w:cs="Times New Roman"/>
        </w:rPr>
        <w:t xml:space="preserve"> Paper prepared for the K</w:t>
      </w:r>
      <w:r w:rsidRPr="00F40195">
        <w:rPr>
          <w:rStyle w:val="FontStyle27"/>
          <w:rFonts w:ascii="Times New Roman" w:hAnsi="Times New Roman" w:cs="Times New Roman"/>
        </w:rPr>
        <w:t>–</w:t>
      </w:r>
      <w:r w:rsidRPr="00F40195">
        <w:rPr>
          <w:rFonts w:cs="Times New Roman"/>
        </w:rPr>
        <w:t>12 Advisory Committee of Washington Learns under the auspices of Lawrence O. Picus and Associates.</w:t>
      </w:r>
    </w:p>
    <w:p w:rsidR="00513C41" w:rsidRPr="00F40195" w:rsidRDefault="00513C41" w:rsidP="00841252">
      <w:pPr>
        <w:spacing w:line="240" w:lineRule="auto"/>
        <w:ind w:left="720" w:hanging="720"/>
        <w:rPr>
          <w:rFonts w:cs="Times New Roman"/>
        </w:rPr>
      </w:pPr>
      <w:proofErr w:type="gramStart"/>
      <w:r w:rsidRPr="00F40195">
        <w:rPr>
          <w:rFonts w:cs="Times New Roman"/>
        </w:rPr>
        <w:t>Impact aid revenue bonds.</w:t>
      </w:r>
      <w:proofErr w:type="gramEnd"/>
      <w:r w:rsidRPr="00F40195">
        <w:rPr>
          <w:rFonts w:cs="Times New Roman"/>
        </w:rPr>
        <w:t xml:space="preserve"> </w:t>
      </w:r>
      <w:proofErr w:type="gramStart"/>
      <w:r w:rsidRPr="00F40195">
        <w:rPr>
          <w:rFonts w:cs="Times New Roman"/>
        </w:rPr>
        <w:t xml:space="preserve">Ore. Gen. Laws ch. 328, </w:t>
      </w:r>
      <w:r w:rsidRPr="00F40195">
        <w:rPr>
          <w:rFonts w:cs="Times New Roman"/>
          <w:color w:val="000000"/>
          <w:sz w:val="18"/>
          <w:szCs w:val="18"/>
          <w:shd w:val="clear" w:color="auto" w:fill="FFFFFF"/>
        </w:rPr>
        <w:t>§</w:t>
      </w:r>
      <w:r w:rsidRPr="00F40195">
        <w:rPr>
          <w:rStyle w:val="apple-converted-space"/>
          <w:rFonts w:cs="Times New Roman"/>
          <w:color w:val="000000"/>
          <w:sz w:val="18"/>
          <w:szCs w:val="18"/>
          <w:shd w:val="clear" w:color="auto" w:fill="FFFFFF"/>
        </w:rPr>
        <w:t xml:space="preserve"> </w:t>
      </w:r>
      <w:r w:rsidRPr="00F40195">
        <w:rPr>
          <w:rFonts w:cs="Times New Roman"/>
        </w:rPr>
        <w:t>316.</w:t>
      </w:r>
      <w:proofErr w:type="gramEnd"/>
      <w:r w:rsidRPr="00F40195">
        <w:rPr>
          <w:rFonts w:cs="Times New Roman"/>
        </w:rPr>
        <w:t xml:space="preserve"> http://www.oregonlaws.org/ors/328.316</w:t>
      </w:r>
    </w:p>
    <w:p w:rsidR="00513C41" w:rsidRPr="00F40195" w:rsidRDefault="00513C41" w:rsidP="00841252">
      <w:pPr>
        <w:spacing w:line="240" w:lineRule="auto"/>
        <w:ind w:left="720" w:hanging="720"/>
        <w:rPr>
          <w:rFonts w:cs="Times New Roman"/>
        </w:rPr>
      </w:pPr>
      <w:r w:rsidRPr="00F40195">
        <w:rPr>
          <w:rFonts w:cs="Times New Roman"/>
        </w:rPr>
        <w:t xml:space="preserve">Jacobson, Linda. (2003). State-financed pre-K shows positive effect, new research says. </w:t>
      </w:r>
      <w:r w:rsidRPr="00F40195">
        <w:rPr>
          <w:rFonts w:cs="Times New Roman"/>
          <w:i/>
          <w:iCs/>
        </w:rPr>
        <w:t>Education Week</w:t>
      </w:r>
      <w:r w:rsidRPr="00F40195">
        <w:rPr>
          <w:rFonts w:cs="Times New Roman"/>
        </w:rPr>
        <w:t>, November 19, 2003.</w:t>
      </w:r>
    </w:p>
    <w:p w:rsidR="00513C41" w:rsidRPr="00F40195" w:rsidRDefault="00513C41" w:rsidP="00841252">
      <w:pPr>
        <w:spacing w:line="240" w:lineRule="auto"/>
        <w:ind w:left="720" w:hanging="720"/>
        <w:rPr>
          <w:rFonts w:cs="Times New Roman"/>
        </w:rPr>
      </w:pPr>
      <w:proofErr w:type="gramStart"/>
      <w:r w:rsidRPr="00F40195">
        <w:rPr>
          <w:rFonts w:cs="Times New Roman"/>
        </w:rPr>
        <w:t>James-Burdumy, Susanne, Dynarski, Mark, Moore, Mary, Deke, John, Mansfield, Wendy &amp; Pistorino, Carol.</w:t>
      </w:r>
      <w:proofErr w:type="gramEnd"/>
      <w:r w:rsidRPr="00F40195">
        <w:rPr>
          <w:rFonts w:cs="Times New Roman"/>
        </w:rPr>
        <w:t xml:space="preserve"> (2005)</w:t>
      </w:r>
      <w:r w:rsidR="009739FE" w:rsidRPr="00F40195">
        <w:rPr>
          <w:rFonts w:cs="Times New Roman"/>
        </w:rPr>
        <w:t xml:space="preserve">. </w:t>
      </w:r>
      <w:r w:rsidRPr="00F40195">
        <w:rPr>
          <w:rFonts w:cs="Times New Roman"/>
          <w:i/>
        </w:rPr>
        <w:t>When Schools Stay Open Late: The National Evaluation of the 21st Century Community Learning Centers Program: Final Report</w:t>
      </w:r>
      <w:r w:rsidRPr="00F40195">
        <w:rPr>
          <w:rFonts w:cs="Times New Roman"/>
        </w:rPr>
        <w:t xml:space="preserve">. </w:t>
      </w:r>
      <w:proofErr w:type="gramStart"/>
      <w:r w:rsidRPr="00F40195">
        <w:rPr>
          <w:rFonts w:cs="Times New Roman"/>
        </w:rPr>
        <w:t>U.S. Department of Education, Institute of Education Sciences, National Center for Education Evaluation and Regional Assistance, 2005.</w:t>
      </w:r>
      <w:proofErr w:type="gramEnd"/>
      <w:r w:rsidRPr="00F40195">
        <w:rPr>
          <w:rFonts w:cs="Times New Roman"/>
        </w:rPr>
        <w:t xml:space="preserve"> Available at http://www.ed.gov/ies/ncee</w:t>
      </w:r>
      <w:r w:rsidRPr="00F40195" w:rsidDel="002F70FA">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Jerald, Craig</w:t>
      </w:r>
      <w:r w:rsidR="009739FE" w:rsidRPr="00F40195">
        <w:rPr>
          <w:rFonts w:cs="Times New Roman"/>
        </w:rPr>
        <w:t xml:space="preserve">. </w:t>
      </w:r>
      <w:r w:rsidRPr="00F40195">
        <w:rPr>
          <w:rFonts w:cs="Times New Roman"/>
        </w:rPr>
        <w:t>(2009)</w:t>
      </w:r>
      <w:r w:rsidR="009739FE" w:rsidRPr="00F40195">
        <w:rPr>
          <w:rFonts w:cs="Times New Roman"/>
        </w:rPr>
        <w:t xml:space="preserve">. </w:t>
      </w:r>
      <w:r w:rsidRPr="00F40195">
        <w:rPr>
          <w:rFonts w:cs="Times New Roman"/>
        </w:rPr>
        <w:t>Aligned by Design: How Teacher Compensation Reform Can Support and Reinforce Other Educational Reforms</w:t>
      </w:r>
      <w:r w:rsidR="009739FE" w:rsidRPr="00F40195">
        <w:rPr>
          <w:rFonts w:cs="Times New Roman"/>
        </w:rPr>
        <w:t xml:space="preserve">. </w:t>
      </w:r>
      <w:r w:rsidRPr="00F40195">
        <w:rPr>
          <w:rFonts w:cs="Times New Roman"/>
        </w:rPr>
        <w:t>Washington, D.C.: Center for American Progress.</w:t>
      </w:r>
    </w:p>
    <w:p w:rsidR="00513C41" w:rsidRPr="00F40195" w:rsidRDefault="00513C41" w:rsidP="00841252">
      <w:pPr>
        <w:spacing w:line="240" w:lineRule="auto"/>
        <w:ind w:left="720" w:hanging="720"/>
        <w:rPr>
          <w:rFonts w:cs="Times New Roman"/>
        </w:rPr>
      </w:pPr>
      <w:r w:rsidRPr="00F40195">
        <w:rPr>
          <w:rFonts w:cs="Times New Roman"/>
        </w:rPr>
        <w:t xml:space="preserve">Jimenez-Castellanos, Oscar, &amp;. </w:t>
      </w:r>
      <w:proofErr w:type="gramStart"/>
      <w:r w:rsidRPr="00F40195">
        <w:rPr>
          <w:rFonts w:cs="Times New Roman"/>
        </w:rPr>
        <w:t>Topper, Amelia M. (2012).</w:t>
      </w:r>
      <w:proofErr w:type="gramEnd"/>
      <w:r w:rsidRPr="00F40195">
        <w:rPr>
          <w:rFonts w:cs="Times New Roman"/>
        </w:rPr>
        <w:t xml:space="preserve"> The cost of providing an adequate education to English language learners: A review of the literature. </w:t>
      </w:r>
      <w:r w:rsidRPr="00F40195">
        <w:rPr>
          <w:rFonts w:cs="Times New Roman"/>
          <w:i/>
        </w:rPr>
        <w:t>Review of Educational Research,</w:t>
      </w:r>
      <w:r w:rsidRPr="00F40195">
        <w:rPr>
          <w:rFonts w:cs="Times New Roman"/>
        </w:rPr>
        <w:t xml:space="preserve"> </w:t>
      </w:r>
      <w:r w:rsidRPr="00F40195">
        <w:rPr>
          <w:rFonts w:cs="Times New Roman"/>
          <w:i/>
        </w:rPr>
        <w:t>82</w:t>
      </w:r>
      <w:r w:rsidRPr="00F40195">
        <w:rPr>
          <w:rFonts w:cs="Times New Roman"/>
        </w:rPr>
        <w:t>(2), 179-232.</w:t>
      </w:r>
    </w:p>
    <w:p w:rsidR="00513C41" w:rsidRPr="00F40195" w:rsidRDefault="00513C41" w:rsidP="00841252">
      <w:pPr>
        <w:spacing w:line="240" w:lineRule="auto"/>
        <w:ind w:left="720" w:hanging="720"/>
        <w:rPr>
          <w:rFonts w:cs="Times New Roman"/>
        </w:rPr>
      </w:pPr>
      <w:r w:rsidRPr="00F40195">
        <w:rPr>
          <w:rFonts w:cs="Times New Roman"/>
        </w:rPr>
        <w:t>Johnson, Henry, Elsie Leak, Gary Williamson, Eileen Kellor, Tony Milanow</w:t>
      </w:r>
      <w:r w:rsidR="000B1B75" w:rsidRPr="00F40195">
        <w:rPr>
          <w:rFonts w:cs="Times New Roman"/>
        </w:rPr>
        <w:t xml:space="preserve">ski, Allan Odden &amp; Jason Hanna </w:t>
      </w:r>
      <w:r w:rsidRPr="00F40195">
        <w:rPr>
          <w:rFonts w:cs="Times New Roman"/>
        </w:rPr>
        <w:t>(1999)</w:t>
      </w:r>
      <w:r w:rsidR="009739FE" w:rsidRPr="00F40195">
        <w:rPr>
          <w:rFonts w:cs="Times New Roman"/>
        </w:rPr>
        <w:t xml:space="preserve">. </w:t>
      </w:r>
      <w:proofErr w:type="gramStart"/>
      <w:r w:rsidRPr="00F40195">
        <w:rPr>
          <w:rFonts w:cs="Times New Roman"/>
        </w:rPr>
        <w:t>A Case Study of the State of North Carolina’s School-Based Performance Award Program</w:t>
      </w:r>
      <w:r w:rsidR="009739FE" w:rsidRPr="00F40195">
        <w:rPr>
          <w:rFonts w:cs="Times New Roman"/>
        </w:rPr>
        <w:t>.</w:t>
      </w:r>
      <w:proofErr w:type="gramEnd"/>
      <w:r w:rsidR="009739FE" w:rsidRPr="00F40195">
        <w:rPr>
          <w:rFonts w:cs="Times New Roman"/>
        </w:rPr>
        <w:t xml:space="preserve"> </w:t>
      </w:r>
      <w:r w:rsidRPr="00F40195">
        <w:rPr>
          <w:rFonts w:cs="Times New Roman"/>
        </w:rPr>
        <w:t xml:space="preserve">Madison: University of Wisconsin, Wisconsin </w:t>
      </w:r>
      <w:r w:rsidR="000B1B75" w:rsidRPr="00F40195">
        <w:rPr>
          <w:rFonts w:cs="Times New Roman"/>
        </w:rPr>
        <w:t xml:space="preserve">Center for Education Research, </w:t>
      </w:r>
      <w:r w:rsidRPr="00F40195">
        <w:rPr>
          <w:rFonts w:cs="Times New Roman"/>
        </w:rPr>
        <w:t>Consortium for Policy Research in Education.</w:t>
      </w:r>
    </w:p>
    <w:p w:rsidR="00513C41" w:rsidRPr="00F40195" w:rsidRDefault="00513C41" w:rsidP="00841252">
      <w:pPr>
        <w:spacing w:line="240" w:lineRule="auto"/>
        <w:ind w:left="720" w:hanging="720"/>
        <w:rPr>
          <w:rFonts w:cs="Times New Roman"/>
        </w:rPr>
      </w:pPr>
      <w:proofErr w:type="gramStart"/>
      <w:r w:rsidRPr="00F40195">
        <w:rPr>
          <w:rFonts w:cs="Times New Roman"/>
        </w:rPr>
        <w:t>Joyce, Bruce, &amp; Calhoun, Emily.</w:t>
      </w:r>
      <w:proofErr w:type="gramEnd"/>
      <w:r w:rsidRPr="00F40195">
        <w:rPr>
          <w:rFonts w:cs="Times New Roman"/>
        </w:rPr>
        <w:t xml:space="preserve"> (1996). </w:t>
      </w:r>
      <w:proofErr w:type="gramStart"/>
      <w:r w:rsidRPr="00F40195">
        <w:rPr>
          <w:rFonts w:cs="Times New Roman"/>
          <w:i/>
          <w:iCs/>
        </w:rPr>
        <w:t>Learning</w:t>
      </w:r>
      <w:proofErr w:type="gramEnd"/>
      <w:r w:rsidRPr="00F40195">
        <w:rPr>
          <w:rFonts w:cs="Times New Roman"/>
          <w:i/>
          <w:iCs/>
        </w:rPr>
        <w:t xml:space="preserve"> experiences in school renewal: An exploration of five successful programs</w:t>
      </w:r>
      <w:r w:rsidRPr="00F40195">
        <w:rPr>
          <w:rFonts w:cs="Times New Roman"/>
        </w:rPr>
        <w:t>. Eugene, OR: ERIC Clearinghouse on Educational Management.</w:t>
      </w:r>
    </w:p>
    <w:p w:rsidR="00513C41" w:rsidRPr="00F40195" w:rsidRDefault="00513C41" w:rsidP="00841252">
      <w:pPr>
        <w:spacing w:line="240" w:lineRule="auto"/>
        <w:ind w:left="720" w:hanging="720"/>
        <w:rPr>
          <w:rFonts w:cs="Times New Roman"/>
        </w:rPr>
      </w:pPr>
      <w:proofErr w:type="gramStart"/>
      <w:r w:rsidRPr="00F40195">
        <w:rPr>
          <w:rFonts w:cs="Times New Roman"/>
        </w:rPr>
        <w:t>Joyce, Bruce, &amp; Showers, Beverly.</w:t>
      </w:r>
      <w:proofErr w:type="gramEnd"/>
      <w:r w:rsidRPr="00F40195">
        <w:rPr>
          <w:rFonts w:cs="Times New Roman"/>
        </w:rPr>
        <w:t xml:space="preserve"> </w:t>
      </w:r>
      <w:proofErr w:type="gramStart"/>
      <w:r w:rsidRPr="00F40195">
        <w:rPr>
          <w:rFonts w:cs="Times New Roman"/>
        </w:rPr>
        <w:t xml:space="preserve">(2002). </w:t>
      </w:r>
      <w:r w:rsidRPr="00F40195">
        <w:rPr>
          <w:rFonts w:cs="Times New Roman"/>
          <w:i/>
          <w:iCs/>
        </w:rPr>
        <w:t xml:space="preserve">Student achievement through staff development </w:t>
      </w:r>
      <w:r w:rsidRPr="00F40195">
        <w:rPr>
          <w:rFonts w:cs="Times New Roman"/>
          <w:iCs/>
        </w:rPr>
        <w:t>(3</w:t>
      </w:r>
      <w:r w:rsidRPr="00F40195">
        <w:rPr>
          <w:rFonts w:cs="Times New Roman"/>
          <w:iCs/>
          <w:vertAlign w:val="subscript"/>
        </w:rPr>
        <w:t>rd</w:t>
      </w:r>
      <w:r w:rsidRPr="00F40195">
        <w:rPr>
          <w:rFonts w:cs="Times New Roman"/>
          <w:iCs/>
        </w:rPr>
        <w:t xml:space="preserve"> Ed.).</w:t>
      </w:r>
      <w:proofErr w:type="gramEnd"/>
      <w:r w:rsidRPr="00F40195">
        <w:rPr>
          <w:rFonts w:cs="Times New Roman"/>
          <w:i/>
          <w:iCs/>
        </w:rPr>
        <w:t xml:space="preserve"> </w:t>
      </w:r>
      <w:r w:rsidRPr="00F40195">
        <w:rPr>
          <w:rFonts w:cs="Times New Roman"/>
        </w:rPr>
        <w:t>Alexandria, VA: Association for Supervision and Curriculum Development.</w:t>
      </w:r>
    </w:p>
    <w:p w:rsidR="00513C41" w:rsidRPr="00F40195" w:rsidRDefault="00513C41" w:rsidP="00841252">
      <w:pPr>
        <w:spacing w:line="240" w:lineRule="auto"/>
        <w:ind w:left="720" w:hanging="720"/>
        <w:rPr>
          <w:rFonts w:cs="Times New Roman"/>
        </w:rPr>
      </w:pPr>
      <w:r w:rsidRPr="00F40195">
        <w:rPr>
          <w:rFonts w:cs="Times New Roman"/>
        </w:rPr>
        <w:t xml:space="preserve">Karoly, Lynn, Greenwood, Peter, Everingham, Susan, Hoube, Jill, Kilburn, M. Rebecca, Rydell, C. Peter, Sanders, Matthew, &amp; Chiesa, James. (1998). </w:t>
      </w:r>
      <w:proofErr w:type="gramStart"/>
      <w:r w:rsidRPr="00F40195">
        <w:rPr>
          <w:rFonts w:cs="Times New Roman"/>
          <w:i/>
        </w:rPr>
        <w:t>Investing</w:t>
      </w:r>
      <w:proofErr w:type="gramEnd"/>
      <w:r w:rsidRPr="00F40195">
        <w:rPr>
          <w:rFonts w:cs="Times New Roman"/>
          <w:i/>
        </w:rPr>
        <w:t xml:space="preserve"> in our children: What we know and don't know about the costs and benefits of early childhood interventions.</w:t>
      </w:r>
      <w:r w:rsidRPr="00F40195">
        <w:rPr>
          <w:rFonts w:cs="Times New Roman"/>
        </w:rPr>
        <w:t xml:space="preserve"> Santa Monica, CA: The RAND Corporation.</w:t>
      </w:r>
    </w:p>
    <w:p w:rsidR="00513C41" w:rsidRPr="00F40195" w:rsidRDefault="00513C41" w:rsidP="00841252">
      <w:pPr>
        <w:spacing w:line="240" w:lineRule="auto"/>
        <w:ind w:left="720" w:hanging="720"/>
        <w:rPr>
          <w:rFonts w:cs="Times New Roman"/>
        </w:rPr>
      </w:pPr>
      <w:r w:rsidRPr="00F40195">
        <w:rPr>
          <w:rFonts w:cs="Times New Roman"/>
        </w:rPr>
        <w:lastRenderedPageBreak/>
        <w:t xml:space="preserve">Kauerz, Kristie. (2005). </w:t>
      </w:r>
      <w:r w:rsidRPr="00F40195">
        <w:rPr>
          <w:rFonts w:cs="Times New Roman"/>
          <w:i/>
        </w:rPr>
        <w:t>Full day kindergarten: A study of state policies in the United States</w:t>
      </w:r>
      <w:r w:rsidRPr="00F40195">
        <w:rPr>
          <w:rFonts w:cs="Times New Roman"/>
        </w:rPr>
        <w:t>. Denver, CO: Education Commission of the States.</w:t>
      </w:r>
    </w:p>
    <w:p w:rsidR="00513C41" w:rsidRPr="00F40195" w:rsidRDefault="00513C41" w:rsidP="00841252">
      <w:pPr>
        <w:spacing w:line="240" w:lineRule="auto"/>
        <w:ind w:left="720" w:hanging="720"/>
        <w:rPr>
          <w:rFonts w:cs="Times New Roman"/>
        </w:rPr>
      </w:pPr>
      <w:proofErr w:type="gramStart"/>
      <w:r w:rsidRPr="00F40195">
        <w:rPr>
          <w:rFonts w:cs="Times New Roman"/>
        </w:rPr>
        <w:t>Kelley, Carolyn, Herbert Heneman III, &amp; Anthony Milanowski.</w:t>
      </w:r>
      <w:proofErr w:type="gramEnd"/>
      <w:r w:rsidRPr="00F40195">
        <w:rPr>
          <w:rFonts w:cs="Times New Roman"/>
        </w:rPr>
        <w:t xml:space="preserve"> 2002. Teacher Motivation and School-Based Performance Awards. </w:t>
      </w:r>
      <w:proofErr w:type="gramStart"/>
      <w:r w:rsidRPr="00F40195">
        <w:rPr>
          <w:rFonts w:cs="Times New Roman"/>
        </w:rPr>
        <w:t>Educational Administration Quarterly.</w:t>
      </w:r>
      <w:proofErr w:type="gramEnd"/>
      <w:r w:rsidRPr="00F40195">
        <w:rPr>
          <w:rFonts w:cs="Times New Roman"/>
        </w:rPr>
        <w:t xml:space="preserve"> 38 (3): 272–401. </w:t>
      </w:r>
    </w:p>
    <w:p w:rsidR="00BA288C" w:rsidRDefault="00BA288C" w:rsidP="00841252">
      <w:pPr>
        <w:spacing w:line="240" w:lineRule="auto"/>
        <w:ind w:left="720" w:hanging="720"/>
        <w:rPr>
          <w:rFonts w:cs="Times New Roman"/>
          <w:bCs/>
          <w:szCs w:val="24"/>
        </w:rPr>
      </w:pPr>
      <w:proofErr w:type="gramStart"/>
      <w:r w:rsidRPr="00F40195">
        <w:rPr>
          <w:rFonts w:cs="Times New Roman"/>
        </w:rPr>
        <w:t>Kentucky Board of Education (2008).</w:t>
      </w:r>
      <w:proofErr w:type="gramEnd"/>
      <w:r w:rsidRPr="00F40195">
        <w:rPr>
          <w:rFonts w:cs="Times New Roman"/>
        </w:rPr>
        <w:t xml:space="preserve"> </w:t>
      </w:r>
      <w:proofErr w:type="gramStart"/>
      <w:r w:rsidRPr="00F40195">
        <w:rPr>
          <w:rFonts w:cs="Times New Roman"/>
        </w:rPr>
        <w:t>The Kentucky school facilities planning manual</w:t>
      </w:r>
      <w:r w:rsidRPr="00841252">
        <w:rPr>
          <w:rFonts w:cs="Times New Roman"/>
          <w:szCs w:val="24"/>
        </w:rPr>
        <w:t xml:space="preserve">, </w:t>
      </w:r>
      <w:r w:rsidRPr="00841252">
        <w:rPr>
          <w:rFonts w:cs="Times New Roman"/>
          <w:bCs/>
          <w:szCs w:val="24"/>
        </w:rPr>
        <w:t>702 KAR 4:180.</w:t>
      </w:r>
      <w:proofErr w:type="gramEnd"/>
      <w:r w:rsidRPr="00841252">
        <w:rPr>
          <w:rFonts w:cs="Times New Roman"/>
          <w:bCs/>
          <w:szCs w:val="24"/>
        </w:rPr>
        <w:t xml:space="preserve"> </w:t>
      </w:r>
      <w:proofErr w:type="gramStart"/>
      <w:r w:rsidRPr="00841252">
        <w:rPr>
          <w:rFonts w:cs="Times New Roman"/>
          <w:bCs/>
          <w:szCs w:val="24"/>
        </w:rPr>
        <w:t>Retrieved 5/25/2014 at</w:t>
      </w:r>
      <w:r>
        <w:rPr>
          <w:rFonts w:cs="Times New Roman"/>
          <w:b/>
          <w:bCs/>
          <w:szCs w:val="24"/>
        </w:rPr>
        <w:t xml:space="preserve"> </w:t>
      </w:r>
      <w:hyperlink r:id="rId46" w:history="1">
        <w:r w:rsidRPr="00FF58FE">
          <w:rPr>
            <w:rStyle w:val="Hyperlink"/>
            <w:rFonts w:cs="Times New Roman"/>
            <w:bCs/>
            <w:szCs w:val="24"/>
          </w:rPr>
          <w:t>http://education.ky.gov/districts/fac/Pages/Facility-Planning.aspx</w:t>
        </w:r>
      </w:hyperlink>
      <w:r w:rsidRPr="00841252">
        <w:rPr>
          <w:rFonts w:cs="Times New Roman"/>
          <w:bCs/>
          <w:szCs w:val="24"/>
        </w:rPr>
        <w:t>.</w:t>
      </w:r>
      <w:proofErr w:type="gramEnd"/>
    </w:p>
    <w:p w:rsidR="00E30D70" w:rsidRPr="00F40195" w:rsidRDefault="00513C41" w:rsidP="00841252">
      <w:pPr>
        <w:spacing w:line="240" w:lineRule="auto"/>
        <w:ind w:left="720" w:hanging="720"/>
        <w:rPr>
          <w:rFonts w:cs="Times New Roman"/>
        </w:rPr>
      </w:pPr>
      <w:proofErr w:type="gramStart"/>
      <w:r w:rsidRPr="00F40195">
        <w:rPr>
          <w:rFonts w:cs="Times New Roman"/>
        </w:rPr>
        <w:t>Kentucky Department of Education</w:t>
      </w:r>
      <w:r w:rsidR="009739FE" w:rsidRPr="00F40195">
        <w:rPr>
          <w:rFonts w:cs="Times New Roman"/>
        </w:rPr>
        <w:t>.</w:t>
      </w:r>
      <w:proofErr w:type="gramEnd"/>
      <w:r w:rsidR="009739FE" w:rsidRPr="00F40195">
        <w:rPr>
          <w:rFonts w:cs="Times New Roman"/>
        </w:rPr>
        <w:t xml:space="preserve"> </w:t>
      </w:r>
      <w:r w:rsidRPr="00F40195">
        <w:rPr>
          <w:rFonts w:cs="Times New Roman"/>
        </w:rPr>
        <w:t>(</w:t>
      </w:r>
      <w:r w:rsidR="00E30D70">
        <w:rPr>
          <w:rFonts w:cs="Times New Roman"/>
        </w:rPr>
        <w:t xml:space="preserve">2013). Support Education Excellence in Kentucky (SEEK) Executive </w:t>
      </w:r>
      <w:proofErr w:type="gramStart"/>
      <w:r w:rsidR="00E30D70">
        <w:rPr>
          <w:rFonts w:cs="Times New Roman"/>
        </w:rPr>
        <w:t xml:space="preserve">Summary </w:t>
      </w:r>
      <w:r w:rsidR="009739FE" w:rsidRPr="00F40195">
        <w:rPr>
          <w:rFonts w:cs="Times New Roman"/>
        </w:rPr>
        <w:t xml:space="preserve"> </w:t>
      </w:r>
      <w:r w:rsidR="00E30D70">
        <w:rPr>
          <w:rFonts w:cs="Times New Roman"/>
        </w:rPr>
        <w:t>for</w:t>
      </w:r>
      <w:proofErr w:type="gramEnd"/>
      <w:r w:rsidR="00E30D70">
        <w:rPr>
          <w:rFonts w:cs="Times New Roman"/>
        </w:rPr>
        <w:t xml:space="preserve"> the 2012-13 school year. Retrieved 6/25/2014 from </w:t>
      </w:r>
      <w:hyperlink r:id="rId47" w:history="1">
        <w:r w:rsidR="00E30D70" w:rsidRPr="00397F6A">
          <w:rPr>
            <w:rStyle w:val="Hyperlink"/>
            <w:rFonts w:cs="Times New Roman"/>
          </w:rPr>
          <w:t>http://education.ky.gov/districts/SEEK/Pages/default.aspx</w:t>
        </w:r>
      </w:hyperlink>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Kim, J. S., &amp; Quinn, D. M. (2013).</w:t>
      </w:r>
      <w:proofErr w:type="gramEnd"/>
      <w:r w:rsidRPr="00F40195">
        <w:rPr>
          <w:rFonts w:cs="Times New Roman"/>
        </w:rPr>
        <w:t xml:space="preserve"> </w:t>
      </w:r>
      <w:proofErr w:type="gramStart"/>
      <w:r w:rsidRPr="00F40195">
        <w:rPr>
          <w:rFonts w:cs="Times New Roman"/>
        </w:rPr>
        <w:t>The Effects of summer reading on low-income children's literacy achievement from kindergarten to grade 8.</w:t>
      </w:r>
      <w:proofErr w:type="gramEnd"/>
      <w:r w:rsidRPr="00F40195">
        <w:rPr>
          <w:rFonts w:cs="Times New Roman"/>
        </w:rPr>
        <w:t xml:space="preserve"> Review of Educational Research, 386-431.</w:t>
      </w:r>
    </w:p>
    <w:p w:rsidR="00513C41" w:rsidRPr="00F40195" w:rsidRDefault="00513C41" w:rsidP="00841252">
      <w:pPr>
        <w:spacing w:line="240" w:lineRule="auto"/>
        <w:ind w:left="720" w:hanging="720"/>
        <w:rPr>
          <w:rFonts w:cs="Times New Roman"/>
        </w:rPr>
      </w:pPr>
      <w:proofErr w:type="gramStart"/>
      <w:r w:rsidRPr="00F40195">
        <w:rPr>
          <w:rFonts w:cs="Times New Roman"/>
        </w:rPr>
        <w:t>Kleiner, Brian, Nolin, Mary Jo, &amp; Chapman, Chris.</w:t>
      </w:r>
      <w:proofErr w:type="gramEnd"/>
      <w:r w:rsidRPr="00F40195">
        <w:rPr>
          <w:rFonts w:cs="Times New Roman"/>
        </w:rPr>
        <w:t xml:space="preserve"> (2004). </w:t>
      </w:r>
      <w:proofErr w:type="gramStart"/>
      <w:r w:rsidRPr="00F40195">
        <w:rPr>
          <w:rFonts w:cs="Times New Roman"/>
          <w:i/>
        </w:rPr>
        <w:t>Before</w:t>
      </w:r>
      <w:proofErr w:type="gramEnd"/>
      <w:r w:rsidRPr="00F40195">
        <w:rPr>
          <w:rFonts w:cs="Times New Roman"/>
          <w:i/>
        </w:rPr>
        <w:t xml:space="preserve"> and after school care programs, and activities through eighth grade: 2001</w:t>
      </w:r>
      <w:r w:rsidRPr="00F40195">
        <w:rPr>
          <w:rFonts w:cs="Times New Roman"/>
        </w:rPr>
        <w:t>. Washington, DC:  U.S. Department of Education, National Center for Education Statistics.</w:t>
      </w:r>
    </w:p>
    <w:p w:rsidR="00513C41" w:rsidRPr="00F40195" w:rsidRDefault="00513C41" w:rsidP="00841252">
      <w:pPr>
        <w:spacing w:line="240" w:lineRule="auto"/>
        <w:ind w:left="720" w:hanging="720"/>
        <w:rPr>
          <w:rFonts w:cs="Times New Roman"/>
        </w:rPr>
      </w:pPr>
      <w:proofErr w:type="gramStart"/>
      <w:r w:rsidRPr="00F40195">
        <w:rPr>
          <w:rFonts w:cs="Times New Roman"/>
        </w:rPr>
        <w:t>Konstantopulos, Spyros, &amp; Chung, Vicki.</w:t>
      </w:r>
      <w:proofErr w:type="gramEnd"/>
      <w:r w:rsidRPr="00F40195">
        <w:rPr>
          <w:rFonts w:cs="Times New Roman"/>
        </w:rPr>
        <w:t xml:space="preserve"> (2009). </w:t>
      </w:r>
      <w:proofErr w:type="gramStart"/>
      <w:r w:rsidRPr="00F40195">
        <w:rPr>
          <w:rFonts w:cs="Times New Roman"/>
        </w:rPr>
        <w:t>What</w:t>
      </w:r>
      <w:proofErr w:type="gramEnd"/>
      <w:r w:rsidRPr="00F40195">
        <w:rPr>
          <w:rFonts w:cs="Times New Roman"/>
        </w:rPr>
        <w:t xml:space="preserve"> are the long term effects of small classes on the achievement gap? </w:t>
      </w:r>
      <w:proofErr w:type="gramStart"/>
      <w:r w:rsidRPr="00F40195">
        <w:rPr>
          <w:rFonts w:cs="Times New Roman"/>
        </w:rPr>
        <w:t>Evidence from the lasting benefits study.</w:t>
      </w:r>
      <w:proofErr w:type="gramEnd"/>
      <w:r w:rsidRPr="00F40195">
        <w:rPr>
          <w:rFonts w:cs="Times New Roman"/>
        </w:rPr>
        <w:t xml:space="preserve"> </w:t>
      </w:r>
      <w:r w:rsidRPr="00F40195">
        <w:rPr>
          <w:rFonts w:cs="Times New Roman"/>
          <w:i/>
        </w:rPr>
        <w:t>American Journal of Education</w:t>
      </w:r>
      <w:r w:rsidRPr="00F40195">
        <w:rPr>
          <w:rFonts w:cs="Times New Roman"/>
        </w:rPr>
        <w:t xml:space="preserve">, </w:t>
      </w:r>
      <w:r w:rsidRPr="00F40195">
        <w:rPr>
          <w:rFonts w:cs="Times New Roman"/>
          <w:i/>
        </w:rPr>
        <w:t>116</w:t>
      </w:r>
      <w:r w:rsidRPr="00F40195">
        <w:rPr>
          <w:rFonts w:cs="Times New Roman"/>
        </w:rPr>
        <w:t>(November), 125-154.</w:t>
      </w:r>
    </w:p>
    <w:p w:rsidR="00513C41" w:rsidRPr="00F40195" w:rsidRDefault="00513C41" w:rsidP="00841252">
      <w:pPr>
        <w:spacing w:line="240" w:lineRule="auto"/>
        <w:ind w:left="720" w:hanging="720"/>
        <w:rPr>
          <w:rFonts w:cs="Times New Roman"/>
        </w:rPr>
      </w:pPr>
      <w:proofErr w:type="gramStart"/>
      <w:r w:rsidRPr="00F40195">
        <w:rPr>
          <w:rFonts w:cs="Times New Roman"/>
        </w:rPr>
        <w:t>Krueger, Alan B., &amp; Whitmore, Diane M. (2001).</w:t>
      </w:r>
      <w:proofErr w:type="gramEnd"/>
      <w:r w:rsidRPr="00F40195">
        <w:rPr>
          <w:rFonts w:cs="Times New Roman"/>
        </w:rPr>
        <w:t xml:space="preserve"> </w:t>
      </w:r>
      <w:r w:rsidRPr="00F40195">
        <w:rPr>
          <w:rFonts w:cs="Times New Roman"/>
          <w:i/>
          <w:iCs/>
        </w:rPr>
        <w:t xml:space="preserve">Would smaller classes help close the black-white achievement gap? </w:t>
      </w:r>
      <w:proofErr w:type="gramStart"/>
      <w:r w:rsidRPr="00F40195">
        <w:rPr>
          <w:rFonts w:cs="Times New Roman"/>
          <w:i/>
          <w:iCs/>
        </w:rPr>
        <w:t>(</w:t>
      </w:r>
      <w:r w:rsidRPr="00F40195">
        <w:rPr>
          <w:rFonts w:cs="Times New Roman"/>
        </w:rPr>
        <w:t>Working paper #451).</w:t>
      </w:r>
      <w:proofErr w:type="gramEnd"/>
      <w:r w:rsidRPr="00F40195">
        <w:rPr>
          <w:rFonts w:cs="Times New Roman"/>
        </w:rPr>
        <w:t xml:space="preserve"> Princeton, NJ: Princeton University. Available: </w:t>
      </w:r>
      <w:hyperlink r:id="rId48" w:history="1">
        <w:r w:rsidRPr="00F40195">
          <w:rPr>
            <w:rStyle w:val="Hyperlink"/>
            <w:rFonts w:cs="Times New Roman"/>
          </w:rPr>
          <w:t>http://www.irs.princeton.edu/pubs/pdfs/451.pdf</w:t>
        </w:r>
      </w:hyperlink>
      <w:r w:rsidRPr="00F40195">
        <w:rPr>
          <w:rFonts w:cs="Times New Roman"/>
        </w:rPr>
        <w:t>.</w:t>
      </w:r>
      <w:r w:rsidRPr="00F40195">
        <w:rPr>
          <w:rFonts w:cs="Times New Roman"/>
        </w:rPr>
        <w:tab/>
      </w:r>
    </w:p>
    <w:p w:rsidR="00513C41" w:rsidRPr="00F40195" w:rsidRDefault="00513C41" w:rsidP="00841252">
      <w:pPr>
        <w:spacing w:line="240" w:lineRule="auto"/>
        <w:ind w:left="720" w:hanging="720"/>
        <w:rPr>
          <w:rFonts w:cs="Times New Roman"/>
        </w:rPr>
      </w:pPr>
      <w:r w:rsidRPr="00F40195">
        <w:rPr>
          <w:rFonts w:cs="Times New Roman"/>
        </w:rPr>
        <w:t xml:space="preserve">Krueger, Alan. (2002). Understanding the magnitude and effect of class size on student achievement. In Lawrence Mishel &amp; Richard Rothstein (Eds.), </w:t>
      </w:r>
      <w:proofErr w:type="gramStart"/>
      <w:r w:rsidRPr="00F40195">
        <w:rPr>
          <w:rFonts w:cs="Times New Roman"/>
          <w:i/>
        </w:rPr>
        <w:t>The</w:t>
      </w:r>
      <w:proofErr w:type="gramEnd"/>
      <w:r w:rsidRPr="00F40195">
        <w:rPr>
          <w:rFonts w:cs="Times New Roman"/>
          <w:i/>
        </w:rPr>
        <w:t xml:space="preserve"> class size debate</w:t>
      </w:r>
      <w:r w:rsidRPr="00F40195">
        <w:rPr>
          <w:rFonts w:cs="Times New Roman"/>
        </w:rPr>
        <w:t xml:space="preserve"> (pp. 7–35). Washington, D.C.: Economic Policy Institute.</w:t>
      </w:r>
    </w:p>
    <w:p w:rsidR="00513C41" w:rsidRPr="00F40195" w:rsidRDefault="00513C41" w:rsidP="00841252">
      <w:pPr>
        <w:spacing w:line="240" w:lineRule="auto"/>
        <w:ind w:left="720" w:hanging="720"/>
        <w:rPr>
          <w:rFonts w:cs="Times New Roman"/>
        </w:rPr>
      </w:pPr>
      <w:r w:rsidRPr="00F40195">
        <w:rPr>
          <w:rFonts w:cs="Times New Roman"/>
        </w:rPr>
        <w:t>Kulik, James A., &amp; Kulik, Chen-</w:t>
      </w:r>
      <w:proofErr w:type="gramStart"/>
      <w:r w:rsidRPr="00F40195">
        <w:rPr>
          <w:rFonts w:cs="Times New Roman"/>
        </w:rPr>
        <w:t xml:space="preserve">Lin </w:t>
      </w:r>
      <w:r w:rsidR="009739FE" w:rsidRPr="00F40195">
        <w:rPr>
          <w:rFonts w:cs="Times New Roman"/>
        </w:rPr>
        <w:t>.</w:t>
      </w:r>
      <w:proofErr w:type="gramEnd"/>
      <w:r w:rsidR="009739FE" w:rsidRPr="00F40195">
        <w:rPr>
          <w:rFonts w:cs="Times New Roman"/>
        </w:rPr>
        <w:t xml:space="preserve"> </w:t>
      </w:r>
      <w:r w:rsidRPr="00F40195">
        <w:rPr>
          <w:rFonts w:cs="Times New Roman"/>
        </w:rPr>
        <w:t xml:space="preserve">(1984). </w:t>
      </w:r>
      <w:proofErr w:type="gramStart"/>
      <w:r w:rsidRPr="00F40195">
        <w:rPr>
          <w:rFonts w:cs="Times New Roman"/>
        </w:rPr>
        <w:t>The</w:t>
      </w:r>
      <w:proofErr w:type="gramEnd"/>
      <w:r w:rsidRPr="00F40195">
        <w:rPr>
          <w:rFonts w:cs="Times New Roman"/>
        </w:rPr>
        <w:t xml:space="preserve"> effects of accelerated instruction. </w:t>
      </w:r>
      <w:r w:rsidRPr="00F40195">
        <w:rPr>
          <w:rFonts w:cs="Times New Roman"/>
          <w:i/>
        </w:rPr>
        <w:t>Review of</w:t>
      </w:r>
      <w:r w:rsidRPr="00F40195">
        <w:rPr>
          <w:rFonts w:cs="Times New Roman"/>
        </w:rPr>
        <w:t xml:space="preserve"> </w:t>
      </w:r>
      <w:r w:rsidRPr="00F40195">
        <w:rPr>
          <w:rFonts w:cs="Times New Roman"/>
          <w:i/>
          <w:iCs/>
        </w:rPr>
        <w:t>Educational Research,</w:t>
      </w:r>
      <w:r w:rsidRPr="00F40195">
        <w:rPr>
          <w:rFonts w:cs="Times New Roman"/>
        </w:rPr>
        <w:t xml:space="preserve"> </w:t>
      </w:r>
      <w:r w:rsidRPr="00F40195">
        <w:rPr>
          <w:rFonts w:cs="Times New Roman"/>
          <w:i/>
        </w:rPr>
        <w:t>54</w:t>
      </w:r>
      <w:r w:rsidRPr="00F40195">
        <w:rPr>
          <w:rFonts w:cs="Times New Roman"/>
        </w:rPr>
        <w:t>(3), 409-425.</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Lance, K. C., &amp; Hofschire, L. (2012).</w:t>
      </w:r>
      <w:proofErr w:type="gramEnd"/>
      <w:r w:rsidRPr="00F40195">
        <w:rPr>
          <w:rFonts w:cs="Times New Roman"/>
        </w:rPr>
        <w:t xml:space="preserve"> Change in school librarian staffing linked to change in CSAP reading performance, 2005 to 2011. Denver, CO: Library Research Service.</w:t>
      </w:r>
    </w:p>
    <w:p w:rsidR="00513C41" w:rsidRPr="00F40195" w:rsidRDefault="00513C41" w:rsidP="00841252">
      <w:pPr>
        <w:spacing w:line="240" w:lineRule="auto"/>
        <w:ind w:left="720" w:hanging="720"/>
        <w:rPr>
          <w:rFonts w:cs="Times New Roman"/>
        </w:rPr>
      </w:pPr>
      <w:r w:rsidRPr="00F40195">
        <w:rPr>
          <w:rFonts w:cs="Times New Roman"/>
        </w:rPr>
        <w:t xml:space="preserve">Landry, Susan H. (1999). </w:t>
      </w:r>
      <w:proofErr w:type="gramStart"/>
      <w:r w:rsidRPr="00F40195">
        <w:rPr>
          <w:rFonts w:cs="Times New Roman"/>
        </w:rPr>
        <w:t>Issues in developing effective interventions for children with developmental disorders.</w:t>
      </w:r>
      <w:proofErr w:type="gramEnd"/>
      <w:r w:rsidRPr="00F40195">
        <w:rPr>
          <w:rFonts w:cs="Times New Roman"/>
        </w:rPr>
        <w:t xml:space="preserve"> In S. Broman &amp; M. Fletcher, (Eds.)</w:t>
      </w:r>
      <w:proofErr w:type="gramStart"/>
      <w:r w:rsidRPr="00F40195">
        <w:rPr>
          <w:rFonts w:cs="Times New Roman"/>
        </w:rPr>
        <w:t xml:space="preserve">,  </w:t>
      </w:r>
      <w:r w:rsidRPr="00F40195">
        <w:rPr>
          <w:rFonts w:cs="Times New Roman"/>
          <w:i/>
        </w:rPr>
        <w:t>The</w:t>
      </w:r>
      <w:proofErr w:type="gramEnd"/>
      <w:r w:rsidRPr="00F40195">
        <w:rPr>
          <w:rFonts w:cs="Times New Roman"/>
          <w:i/>
        </w:rPr>
        <w:t xml:space="preserve"> changing nervous system: Neurobehavioral consequences of early brain disorders (</w:t>
      </w:r>
      <w:r w:rsidRPr="00F40195">
        <w:rPr>
          <w:rFonts w:cs="Times New Roman"/>
        </w:rPr>
        <w:t xml:space="preserve">pp. 341-364). New York, NY: Oxford University Press. </w:t>
      </w:r>
    </w:p>
    <w:p w:rsidR="00513C41" w:rsidRPr="00F40195" w:rsidRDefault="00513C41" w:rsidP="00841252">
      <w:pPr>
        <w:spacing w:line="240" w:lineRule="auto"/>
        <w:ind w:left="720" w:hanging="720"/>
        <w:rPr>
          <w:rFonts w:cs="Times New Roman"/>
        </w:rPr>
      </w:pPr>
      <w:proofErr w:type="gramStart"/>
      <w:r w:rsidRPr="00F40195">
        <w:rPr>
          <w:rFonts w:cs="Times New Roman"/>
        </w:rPr>
        <w:t>Lee, Valerie, &amp; Smith, Julia.</w:t>
      </w:r>
      <w:proofErr w:type="gramEnd"/>
      <w:r w:rsidRPr="00F40195">
        <w:rPr>
          <w:rFonts w:cs="Times New Roman"/>
        </w:rPr>
        <w:t xml:space="preserve"> (1997). High school size: Which works best, and for whom? </w:t>
      </w:r>
      <w:r w:rsidRPr="00F40195">
        <w:rPr>
          <w:rFonts w:cs="Times New Roman"/>
          <w:i/>
        </w:rPr>
        <w:t>Educational Evaluation and Policy Analysis, 19</w:t>
      </w:r>
      <w:r w:rsidRPr="00F40195">
        <w:rPr>
          <w:rFonts w:cs="Times New Roman"/>
        </w:rPr>
        <w:t>(3), 205–228.</w:t>
      </w:r>
    </w:p>
    <w:p w:rsidR="00513C41" w:rsidRPr="00F40195" w:rsidRDefault="00513C41" w:rsidP="00841252">
      <w:pPr>
        <w:spacing w:line="240" w:lineRule="auto"/>
        <w:ind w:left="720" w:hanging="720"/>
        <w:rPr>
          <w:rFonts w:cs="Times New Roman"/>
        </w:rPr>
      </w:pPr>
      <w:r w:rsidRPr="00F40195">
        <w:rPr>
          <w:rFonts w:cs="Times New Roman"/>
        </w:rPr>
        <w:t xml:space="preserve">Levenson, Nathan. (2011). </w:t>
      </w:r>
      <w:proofErr w:type="gramStart"/>
      <w:r w:rsidRPr="00F40195">
        <w:rPr>
          <w:rFonts w:cs="Times New Roman"/>
          <w:i/>
        </w:rPr>
        <w:t>Something</w:t>
      </w:r>
      <w:proofErr w:type="gramEnd"/>
      <w:r w:rsidRPr="00F40195">
        <w:rPr>
          <w:rFonts w:cs="Times New Roman"/>
          <w:i/>
        </w:rPr>
        <w:t xml:space="preserve"> has got to change: Rethinking special education, Working Paper 2011-01</w:t>
      </w:r>
      <w:r w:rsidRPr="00F40195">
        <w:rPr>
          <w:rFonts w:cs="Times New Roman"/>
        </w:rPr>
        <w:t>. Washington, D.C.: American Enterprise Institute.</w:t>
      </w:r>
    </w:p>
    <w:p w:rsidR="00513C41" w:rsidRPr="00F40195" w:rsidRDefault="00513C41" w:rsidP="00841252">
      <w:pPr>
        <w:spacing w:line="240" w:lineRule="auto"/>
        <w:ind w:left="720" w:hanging="720"/>
        <w:rPr>
          <w:rFonts w:cs="Times New Roman"/>
        </w:rPr>
      </w:pPr>
      <w:r w:rsidRPr="00F40195">
        <w:rPr>
          <w:rFonts w:cs="Times New Roman"/>
        </w:rPr>
        <w:t xml:space="preserve">Levenson, Nathan. </w:t>
      </w:r>
      <w:proofErr w:type="gramStart"/>
      <w:r w:rsidRPr="00F40195">
        <w:rPr>
          <w:rFonts w:cs="Times New Roman"/>
        </w:rPr>
        <w:t xml:space="preserve">(2012). </w:t>
      </w:r>
      <w:r w:rsidRPr="00F40195">
        <w:rPr>
          <w:rFonts w:cs="Times New Roman"/>
          <w:i/>
        </w:rPr>
        <w:t>Boosting the quality and efficiency of special education</w:t>
      </w:r>
      <w:r w:rsidRPr="00F40195">
        <w:rPr>
          <w:rFonts w:cs="Times New Roman"/>
        </w:rPr>
        <w:t>.</w:t>
      </w:r>
      <w:proofErr w:type="gramEnd"/>
      <w:r w:rsidRPr="00F40195">
        <w:rPr>
          <w:rFonts w:cs="Times New Roman"/>
        </w:rPr>
        <w:t xml:space="preserve"> Dayton, OH: Thomas Fordham Institute.</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Levesque, K., Wun, J., &amp; Green, C. (2010).</w:t>
      </w:r>
      <w:proofErr w:type="gramEnd"/>
      <w:r w:rsidRPr="00F40195">
        <w:rPr>
          <w:rFonts w:cs="Times New Roman"/>
        </w:rPr>
        <w:t xml:space="preserve"> Science achievement and occupational career/technical education </w:t>
      </w:r>
      <w:r w:rsidR="007619E2" w:rsidRPr="00F40195">
        <w:rPr>
          <w:rFonts w:cs="Times New Roman"/>
        </w:rPr>
        <w:t>course taking</w:t>
      </w:r>
      <w:r w:rsidRPr="00F40195">
        <w:rPr>
          <w:rFonts w:cs="Times New Roman"/>
        </w:rPr>
        <w:t xml:space="preserve"> in high school: The Class of 2005. Washington, D.C.: </w:t>
      </w:r>
      <w:r w:rsidR="007619E2" w:rsidRPr="00F40195">
        <w:rPr>
          <w:rFonts w:cs="Times New Roman"/>
        </w:rPr>
        <w:t>Institute</w:t>
      </w:r>
      <w:r w:rsidRPr="00F40195">
        <w:rPr>
          <w:rFonts w:cs="Times New Roman"/>
        </w:rPr>
        <w:t xml:space="preserve"> of Education Statistics.</w:t>
      </w:r>
    </w:p>
    <w:p w:rsidR="00513C41" w:rsidRPr="00F40195" w:rsidRDefault="00513C41" w:rsidP="00841252">
      <w:pPr>
        <w:spacing w:line="240" w:lineRule="auto"/>
        <w:ind w:left="720" w:hanging="720"/>
        <w:rPr>
          <w:rFonts w:cs="Times New Roman"/>
          <w:sz w:val="23"/>
          <w:szCs w:val="23"/>
        </w:rPr>
      </w:pPr>
      <w:r w:rsidRPr="00F40195">
        <w:rPr>
          <w:rFonts w:cs="Times New Roman"/>
        </w:rPr>
        <w:lastRenderedPageBreak/>
        <w:t>Liu, Edward, Susan Moore Johnson &amp; Heather G. Peske</w:t>
      </w:r>
      <w:r w:rsidR="009739FE" w:rsidRPr="00F40195">
        <w:rPr>
          <w:rFonts w:cs="Times New Roman"/>
        </w:rPr>
        <w:t xml:space="preserve">. </w:t>
      </w:r>
      <w:r w:rsidRPr="00F40195">
        <w:rPr>
          <w:rFonts w:cs="Times New Roman"/>
        </w:rPr>
        <w:t>(2004)</w:t>
      </w:r>
      <w:r w:rsidR="009739FE" w:rsidRPr="00F40195">
        <w:rPr>
          <w:rFonts w:cs="Times New Roman"/>
        </w:rPr>
        <w:t xml:space="preserve">. </w:t>
      </w:r>
      <w:r w:rsidRPr="00F40195">
        <w:rPr>
          <w:rFonts w:cs="Times New Roman"/>
        </w:rPr>
        <w:t>New Teachers and the Massachusetts Signing Bonus: The Limits of Inducements</w:t>
      </w:r>
      <w:r w:rsidR="009739FE" w:rsidRPr="00F40195">
        <w:rPr>
          <w:rFonts w:cs="Times New Roman"/>
        </w:rPr>
        <w:t xml:space="preserve">. </w:t>
      </w:r>
      <w:r w:rsidRPr="00F40195">
        <w:rPr>
          <w:rFonts w:cs="Times New Roman"/>
          <w:i/>
        </w:rPr>
        <w:t>Educational Evaluation and Policy Analysis</w:t>
      </w:r>
      <w:r w:rsidRPr="00F40195">
        <w:rPr>
          <w:rFonts w:cs="Times New Roman"/>
        </w:rPr>
        <w:t>, 26(3), 217-236.</w:t>
      </w:r>
      <w:r w:rsidRPr="00F40195">
        <w:rPr>
          <w:rFonts w:cs="Times New Roman"/>
          <w:sz w:val="23"/>
          <w:szCs w:val="23"/>
        </w:rPr>
        <w:t xml:space="preserve"> </w:t>
      </w:r>
    </w:p>
    <w:p w:rsidR="00513C41" w:rsidRPr="00F40195" w:rsidRDefault="00513C41" w:rsidP="00841252">
      <w:pPr>
        <w:spacing w:line="240" w:lineRule="auto"/>
        <w:ind w:left="720" w:hanging="720"/>
        <w:rPr>
          <w:rFonts w:cs="Times New Roman"/>
        </w:rPr>
      </w:pPr>
      <w:proofErr w:type="gramStart"/>
      <w:r w:rsidRPr="00F40195">
        <w:rPr>
          <w:rFonts w:cs="Times New Roman"/>
        </w:rPr>
        <w:t>Lockwood, J.R., McCombs</w:t>
      </w:r>
      <w:r w:rsidRPr="00F40195">
        <w:rPr>
          <w:rFonts w:cs="Times New Roman"/>
          <w:i/>
        </w:rPr>
        <w:t xml:space="preserve">, </w:t>
      </w:r>
      <w:r w:rsidRPr="00F40195">
        <w:rPr>
          <w:rFonts w:cs="Times New Roman"/>
        </w:rPr>
        <w:t>Jennifer Sloan</w:t>
      </w:r>
      <w:r w:rsidRPr="00F40195">
        <w:rPr>
          <w:rFonts w:cs="Times New Roman"/>
          <w:i/>
        </w:rPr>
        <w:t>,</w:t>
      </w:r>
      <w:r w:rsidRPr="00F40195">
        <w:rPr>
          <w:rFonts w:cs="Times New Roman"/>
        </w:rPr>
        <w:t xml:space="preserve"> &amp; Marsh</w:t>
      </w:r>
      <w:r w:rsidRPr="00F40195">
        <w:rPr>
          <w:rFonts w:cs="Times New Roman"/>
          <w:i/>
        </w:rPr>
        <w:t xml:space="preserve">, </w:t>
      </w:r>
      <w:r w:rsidRPr="00F40195">
        <w:rPr>
          <w:rFonts w:cs="Times New Roman"/>
        </w:rPr>
        <w:t>Julie.</w:t>
      </w:r>
      <w:proofErr w:type="gramEnd"/>
      <w:r w:rsidRPr="00F40195">
        <w:rPr>
          <w:rFonts w:cs="Times New Roman"/>
        </w:rPr>
        <w:t xml:space="preserve"> (2010). Linking reading coaches and student achievement: Evidence from Florida middle schools. </w:t>
      </w:r>
      <w:r w:rsidRPr="00F40195">
        <w:rPr>
          <w:rFonts w:cs="Times New Roman"/>
          <w:i/>
        </w:rPr>
        <w:t>Educational Evaluation and Policy Analysis, 32</w:t>
      </w:r>
      <w:r w:rsidRPr="00F40195">
        <w:rPr>
          <w:rFonts w:cs="Times New Roman"/>
        </w:rPr>
        <w:t>(3), 372</w:t>
      </w:r>
      <w:r w:rsidRPr="00F40195">
        <w:rPr>
          <w:rStyle w:val="FontStyle28"/>
          <w:rFonts w:ascii="Times New Roman" w:hAnsi="Times New Roman" w:cs="Times New Roman"/>
        </w:rPr>
        <w:t>–</w:t>
      </w:r>
      <w:r w:rsidRPr="00F40195">
        <w:rPr>
          <w:rFonts w:cs="Times New Roman"/>
        </w:rPr>
        <w:t>388.</w:t>
      </w:r>
    </w:p>
    <w:p w:rsidR="00513C41" w:rsidRPr="00F40195" w:rsidRDefault="00513C41" w:rsidP="00841252">
      <w:pPr>
        <w:spacing w:line="240" w:lineRule="auto"/>
        <w:ind w:left="720" w:hanging="720"/>
        <w:rPr>
          <w:rFonts w:cs="Times New Roman"/>
        </w:rPr>
      </w:pPr>
      <w:r w:rsidRPr="00F40195">
        <w:rPr>
          <w:rFonts w:cs="Times New Roman"/>
        </w:rPr>
        <w:t>Madden, Nancy A., Slavin, Robert, Karweit, Nancy, Dolan</w:t>
      </w:r>
      <w:r w:rsidRPr="00F40195">
        <w:rPr>
          <w:rFonts w:cs="Times New Roman"/>
          <w:i/>
        </w:rPr>
        <w:t>,</w:t>
      </w:r>
      <w:r w:rsidR="00F76F53">
        <w:rPr>
          <w:rFonts w:cs="Times New Roman"/>
        </w:rPr>
        <w:t xml:space="preserve"> Lawrence J., </w:t>
      </w:r>
      <w:r w:rsidRPr="00F40195">
        <w:rPr>
          <w:rFonts w:cs="Times New Roman"/>
        </w:rPr>
        <w:t xml:space="preserve">&amp; Wasik, Barbara A. (1993). Success for all: Longitudinal effects of a restructuring program for inner-city elementary schools, </w:t>
      </w:r>
      <w:r w:rsidRPr="00F40195">
        <w:rPr>
          <w:rFonts w:cs="Times New Roman"/>
          <w:i/>
          <w:iCs/>
        </w:rPr>
        <w:t>American Educational Research Journal,</w:t>
      </w:r>
      <w:r w:rsidRPr="00F40195">
        <w:rPr>
          <w:rFonts w:cs="Times New Roman"/>
        </w:rPr>
        <w:t xml:space="preserve"> 30: 123</w:t>
      </w:r>
      <w:r w:rsidRPr="00F40195">
        <w:rPr>
          <w:rStyle w:val="FontStyle28"/>
          <w:rFonts w:ascii="Times New Roman" w:hAnsi="Times New Roman" w:cs="Times New Roman"/>
        </w:rPr>
        <w:t>–</w:t>
      </w:r>
      <w:r w:rsidRPr="00F40195">
        <w:rPr>
          <w:rFonts w:cs="Times New Roman"/>
        </w:rPr>
        <w:t>148.</w:t>
      </w:r>
    </w:p>
    <w:p w:rsidR="00513C41" w:rsidRPr="00F40195" w:rsidRDefault="00513C41" w:rsidP="00841252">
      <w:pPr>
        <w:spacing w:line="240" w:lineRule="auto"/>
        <w:ind w:left="720" w:hanging="720"/>
        <w:rPr>
          <w:rFonts w:cs="Times New Roman"/>
        </w:rPr>
      </w:pPr>
      <w:proofErr w:type="gramStart"/>
      <w:r w:rsidRPr="00F40195">
        <w:rPr>
          <w:rFonts w:cs="Times New Roman"/>
        </w:rPr>
        <w:t>Marsh, Julie A., McCombs, Jennifer Sloan, &amp; Martorell, Francisco.</w:t>
      </w:r>
      <w:proofErr w:type="gramEnd"/>
      <w:r w:rsidRPr="00F40195">
        <w:rPr>
          <w:rFonts w:cs="Times New Roman"/>
        </w:rPr>
        <w:t xml:space="preserve"> </w:t>
      </w:r>
      <w:proofErr w:type="gramStart"/>
      <w:r w:rsidRPr="00F40195">
        <w:rPr>
          <w:rFonts w:cs="Times New Roman"/>
        </w:rPr>
        <w:t>(2010). How instructional coaches support data-driven decision making.</w:t>
      </w:r>
      <w:proofErr w:type="gramEnd"/>
      <w:r w:rsidRPr="00F40195">
        <w:rPr>
          <w:rFonts w:cs="Times New Roman"/>
        </w:rPr>
        <w:t xml:space="preserve"> </w:t>
      </w:r>
      <w:r w:rsidRPr="00F40195">
        <w:rPr>
          <w:rFonts w:cs="Times New Roman"/>
          <w:i/>
        </w:rPr>
        <w:t>Educational Policy</w:t>
      </w:r>
      <w:r w:rsidRPr="00F40195">
        <w:rPr>
          <w:rFonts w:cs="Times New Roman"/>
        </w:rPr>
        <w:t xml:space="preserve">, </w:t>
      </w:r>
      <w:r w:rsidRPr="00F40195">
        <w:rPr>
          <w:rFonts w:cs="Times New Roman"/>
          <w:b/>
          <w:i/>
        </w:rPr>
        <w:t>24</w:t>
      </w:r>
      <w:r w:rsidRPr="00F40195">
        <w:rPr>
          <w:rFonts w:cs="Times New Roman"/>
        </w:rPr>
        <w:t>(6), 872</w:t>
      </w:r>
      <w:r w:rsidRPr="00F40195">
        <w:rPr>
          <w:rStyle w:val="FontStyle28"/>
          <w:rFonts w:ascii="Times New Roman" w:hAnsi="Times New Roman" w:cs="Times New Roman"/>
        </w:rPr>
        <w:t>–</w:t>
      </w:r>
      <w:r w:rsidRPr="00F40195">
        <w:rPr>
          <w:rFonts w:cs="Times New Roman"/>
        </w:rPr>
        <w:t>907.</w:t>
      </w:r>
    </w:p>
    <w:p w:rsidR="00513C41" w:rsidRPr="00F40195" w:rsidRDefault="00513C41" w:rsidP="00841252">
      <w:pPr>
        <w:spacing w:line="240" w:lineRule="auto"/>
        <w:ind w:left="720" w:hanging="720"/>
        <w:rPr>
          <w:rFonts w:cs="Times New Roman"/>
        </w:rPr>
      </w:pPr>
      <w:proofErr w:type="gramStart"/>
      <w:r w:rsidRPr="00F40195">
        <w:rPr>
          <w:rFonts w:cs="Times New Roman"/>
        </w:rPr>
        <w:t>Measures of Effective Teaching Project</w:t>
      </w:r>
      <w:r w:rsidR="009739FE" w:rsidRPr="00F40195">
        <w:rPr>
          <w:rFonts w:cs="Times New Roman"/>
        </w:rPr>
        <w:t>.</w:t>
      </w:r>
      <w:proofErr w:type="gramEnd"/>
      <w:r w:rsidR="009739FE" w:rsidRPr="00F40195">
        <w:rPr>
          <w:rFonts w:cs="Times New Roman"/>
        </w:rPr>
        <w:t xml:space="preserve"> </w:t>
      </w:r>
      <w:r w:rsidRPr="00F40195">
        <w:rPr>
          <w:rFonts w:cs="Times New Roman"/>
        </w:rPr>
        <w:t>(2012)</w:t>
      </w:r>
      <w:r w:rsidR="009739FE" w:rsidRPr="00F40195">
        <w:rPr>
          <w:rFonts w:cs="Times New Roman"/>
        </w:rPr>
        <w:t xml:space="preserve">. </w:t>
      </w:r>
      <w:r w:rsidRPr="00F40195">
        <w:rPr>
          <w:rFonts w:cs="Times New Roman"/>
        </w:rPr>
        <w:t>Gathering Feedback for Teaching</w:t>
      </w:r>
      <w:r w:rsidR="009739FE" w:rsidRPr="00F40195">
        <w:rPr>
          <w:rFonts w:cs="Times New Roman"/>
        </w:rPr>
        <w:t xml:space="preserve">. </w:t>
      </w:r>
      <w:r w:rsidRPr="00F40195">
        <w:rPr>
          <w:rFonts w:cs="Times New Roman"/>
        </w:rPr>
        <w:t>Seattle, WA: Bill and Melinda Gates Foundation.</w:t>
      </w:r>
    </w:p>
    <w:p w:rsidR="00513C41" w:rsidRPr="00F40195" w:rsidRDefault="00513C41" w:rsidP="00841252">
      <w:pPr>
        <w:spacing w:line="240" w:lineRule="auto"/>
        <w:ind w:left="720" w:hanging="720"/>
        <w:rPr>
          <w:rFonts w:cs="Times New Roman"/>
        </w:rPr>
      </w:pPr>
      <w:proofErr w:type="gramStart"/>
      <w:r w:rsidRPr="00F40195">
        <w:rPr>
          <w:rFonts w:cs="Times New Roman"/>
        </w:rPr>
        <w:t>Michie, Joan, &amp; Holton, Barbara.</w:t>
      </w:r>
      <w:proofErr w:type="gramEnd"/>
      <w:r w:rsidRPr="00F40195">
        <w:rPr>
          <w:rFonts w:cs="Times New Roman"/>
        </w:rPr>
        <w:t xml:space="preserve"> (2005). </w:t>
      </w:r>
      <w:r w:rsidRPr="00F40195">
        <w:rPr>
          <w:rFonts w:cs="Times New Roman"/>
          <w:i/>
        </w:rPr>
        <w:t>Fifty years of supporting children’s learning: A history of public school libraries and federal legislation from 1953 to 2000</w:t>
      </w:r>
      <w:r w:rsidRPr="00F40195">
        <w:rPr>
          <w:rFonts w:cs="Times New Roman"/>
        </w:rPr>
        <w:t xml:space="preserve"> (NCES 2005-311). </w:t>
      </w:r>
      <w:proofErr w:type="gramStart"/>
      <w:r w:rsidRPr="00F40195">
        <w:rPr>
          <w:rFonts w:cs="Times New Roman"/>
        </w:rPr>
        <w:t>U.S. Department of Education.</w:t>
      </w:r>
      <w:proofErr w:type="gramEnd"/>
      <w:r w:rsidRPr="00F40195">
        <w:rPr>
          <w:rFonts w:cs="Times New Roman"/>
        </w:rPr>
        <w:t xml:space="preserve"> </w:t>
      </w:r>
      <w:proofErr w:type="gramStart"/>
      <w:r w:rsidRPr="00F40195">
        <w:rPr>
          <w:rFonts w:cs="Times New Roman"/>
        </w:rPr>
        <w:t>National Center for Education Statistics.</w:t>
      </w:r>
      <w:proofErr w:type="gramEnd"/>
      <w:r w:rsidRPr="00F40195">
        <w:rPr>
          <w:rFonts w:cs="Times New Roman"/>
        </w:rPr>
        <w:t xml:space="preserve"> Washington, DC: U.S. Government Printing Office.</w:t>
      </w:r>
    </w:p>
    <w:p w:rsidR="00513C41" w:rsidRPr="00F40195" w:rsidRDefault="00513C41" w:rsidP="00841252">
      <w:pPr>
        <w:spacing w:line="240" w:lineRule="auto"/>
        <w:ind w:left="720" w:hanging="720"/>
        <w:rPr>
          <w:rFonts w:cs="Times New Roman"/>
        </w:rPr>
      </w:pPr>
      <w:proofErr w:type="gramStart"/>
      <w:r w:rsidRPr="00F40195">
        <w:rPr>
          <w:rFonts w:cs="Times New Roman"/>
        </w:rPr>
        <w:t>Mid-Continent Comprehensive Center.</w:t>
      </w:r>
      <w:proofErr w:type="gramEnd"/>
      <w:r w:rsidRPr="00F40195">
        <w:rPr>
          <w:rFonts w:cs="Times New Roman"/>
        </w:rPr>
        <w:t xml:space="preserve"> (n.d.)</w:t>
      </w:r>
      <w:proofErr w:type="gramStart"/>
      <w:r w:rsidRPr="00F40195">
        <w:rPr>
          <w:rFonts w:cs="Times New Roman"/>
        </w:rPr>
        <w:t>.“</w:t>
      </w:r>
      <w:proofErr w:type="gramEnd"/>
      <w:r w:rsidRPr="00F40195">
        <w:rPr>
          <w:rFonts w:cs="Times New Roman"/>
        </w:rPr>
        <w:t>KnowledgeBases &gt; Impact Aid” Program.” http://www.mc3edsupport.org/community/knowledgebases/impact-aid-program-1321.html</w:t>
      </w:r>
    </w:p>
    <w:p w:rsidR="00513C41" w:rsidRPr="00F40195" w:rsidRDefault="00513C41" w:rsidP="00841252">
      <w:pPr>
        <w:spacing w:line="240" w:lineRule="auto"/>
        <w:ind w:left="720" w:hanging="720"/>
        <w:rPr>
          <w:rFonts w:cs="Times New Roman"/>
        </w:rPr>
      </w:pPr>
      <w:r w:rsidRPr="00F40195">
        <w:rPr>
          <w:rFonts w:cs="Times New Roman"/>
        </w:rPr>
        <w:t>Milanowski, Anthony, Kimball, Steve &amp; Odden, Allan. (2005)</w:t>
      </w:r>
      <w:r w:rsidR="009739FE" w:rsidRPr="00F40195">
        <w:rPr>
          <w:rFonts w:cs="Times New Roman"/>
        </w:rPr>
        <w:t xml:space="preserve">. </w:t>
      </w:r>
      <w:r w:rsidRPr="00F40195">
        <w:rPr>
          <w:rFonts w:cs="Times New Roman"/>
        </w:rPr>
        <w:t>Teacher Accountability Measures and Links to Learning. In L. Stiefel &amp; A. E. Schwartz &amp; R. Rubenstein &amp; J. Zabel (Eds.)</w:t>
      </w:r>
      <w:r w:rsidR="009739FE" w:rsidRPr="00F40195">
        <w:rPr>
          <w:rFonts w:cs="Times New Roman"/>
        </w:rPr>
        <w:t xml:space="preserve">. </w:t>
      </w:r>
      <w:r w:rsidRPr="00F40195">
        <w:rPr>
          <w:rFonts w:cs="Times New Roman"/>
        </w:rPr>
        <w:t xml:space="preserve">Measuring School Performance and Efficiency: Implications for Practice and Research (pp. 137-161). Larchmont, NY: Eye on Education. </w:t>
      </w:r>
    </w:p>
    <w:p w:rsidR="00513C41" w:rsidRPr="00F40195" w:rsidRDefault="00513C41" w:rsidP="00841252">
      <w:pPr>
        <w:spacing w:line="240" w:lineRule="auto"/>
        <w:ind w:left="720" w:hanging="720"/>
        <w:rPr>
          <w:rFonts w:cs="Times New Roman"/>
        </w:rPr>
      </w:pPr>
      <w:r w:rsidRPr="00F40195">
        <w:rPr>
          <w:rFonts w:cs="Times New Roman"/>
        </w:rPr>
        <w:t xml:space="preserve">Milanowski, Anthony. </w:t>
      </w:r>
      <w:proofErr w:type="gramStart"/>
      <w:r w:rsidRPr="00F40195">
        <w:rPr>
          <w:rFonts w:cs="Times New Roman"/>
        </w:rPr>
        <w:t>T. (2004).</w:t>
      </w:r>
      <w:proofErr w:type="gramEnd"/>
      <w:r w:rsidRPr="00F40195">
        <w:rPr>
          <w:rFonts w:cs="Times New Roman"/>
        </w:rPr>
        <w:t xml:space="preserve"> The relationship between teacher performance evaluation scores and student achievement:  Evidence from Cincinnati. Peabody Journal of Education, 79(4), 33-53.</w:t>
      </w:r>
    </w:p>
    <w:p w:rsidR="00513C41" w:rsidRPr="00F40195" w:rsidRDefault="00513C41" w:rsidP="00841252">
      <w:pPr>
        <w:spacing w:line="240" w:lineRule="auto"/>
        <w:ind w:left="720" w:hanging="720"/>
        <w:rPr>
          <w:rFonts w:cs="Times New Roman"/>
        </w:rPr>
      </w:pPr>
      <w:r w:rsidRPr="00F40195">
        <w:rPr>
          <w:rFonts w:cs="Times New Roman"/>
        </w:rPr>
        <w:t xml:space="preserve">Miles, Karen H., Odden, Allan R., Fermanich, Mark, &amp; Archibald, Sarah. (2004). </w:t>
      </w:r>
      <w:proofErr w:type="gramStart"/>
      <w:r w:rsidRPr="00F40195">
        <w:rPr>
          <w:rFonts w:cs="Times New Roman"/>
        </w:rPr>
        <w:t>Inside</w:t>
      </w:r>
      <w:proofErr w:type="gramEnd"/>
      <w:r w:rsidRPr="00F40195">
        <w:rPr>
          <w:rFonts w:cs="Times New Roman"/>
        </w:rPr>
        <w:t xml:space="preserve"> the black box of school district spending on professional development: Lessons from five urban districts. </w:t>
      </w:r>
      <w:r w:rsidRPr="00F40195">
        <w:rPr>
          <w:rFonts w:cs="Times New Roman"/>
          <w:i/>
        </w:rPr>
        <w:t>Journal of Education Finance, 30</w:t>
      </w:r>
      <w:r w:rsidRPr="00F40195">
        <w:rPr>
          <w:rFonts w:cs="Times New Roman"/>
        </w:rPr>
        <w:t>(1), 1</w:t>
      </w:r>
      <w:r w:rsidRPr="00F40195">
        <w:rPr>
          <w:rStyle w:val="FontStyle41"/>
          <w:rFonts w:ascii="Times New Roman" w:hAnsi="Times New Roman" w:cs="Times New Roman"/>
        </w:rPr>
        <w:t>–</w:t>
      </w:r>
      <w:r w:rsidRPr="00F40195">
        <w:rPr>
          <w:rFonts w:cs="Times New Roman"/>
        </w:rPr>
        <w:t>26.</w:t>
      </w:r>
    </w:p>
    <w:p w:rsidR="00513C41" w:rsidRPr="00F40195" w:rsidRDefault="00513C41" w:rsidP="00841252">
      <w:pPr>
        <w:spacing w:line="240" w:lineRule="auto"/>
        <w:ind w:left="720" w:hanging="720"/>
        <w:rPr>
          <w:rFonts w:cs="Times New Roman"/>
        </w:rPr>
      </w:pPr>
      <w:r w:rsidRPr="00F40195">
        <w:rPr>
          <w:rFonts w:cs="Times New Roman"/>
        </w:rPr>
        <w:t xml:space="preserve">Miller, Samuel D. (2003). Partners in reading: Using classroom assistants to provide tutorial assistance to struggling first-grade readers. </w:t>
      </w:r>
      <w:r w:rsidRPr="00F40195">
        <w:rPr>
          <w:rFonts w:cs="Times New Roman"/>
          <w:i/>
        </w:rPr>
        <w:t>Journal of Education for Students Placed at Risk, 8</w:t>
      </w:r>
      <w:r w:rsidRPr="00F40195">
        <w:rPr>
          <w:rFonts w:cs="Times New Roman"/>
        </w:rPr>
        <w:t>(3), 333</w:t>
      </w:r>
      <w:r w:rsidRPr="00F40195">
        <w:rPr>
          <w:rStyle w:val="FontStyle28"/>
          <w:rFonts w:ascii="Times New Roman" w:hAnsi="Times New Roman" w:cs="Times New Roman"/>
        </w:rPr>
        <w:t>–</w:t>
      </w:r>
      <w:r w:rsidRPr="00F40195">
        <w:rPr>
          <w:rFonts w:cs="Times New Roman"/>
        </w:rPr>
        <w:t>349.</w:t>
      </w:r>
    </w:p>
    <w:p w:rsidR="00513C41" w:rsidRPr="00F40195" w:rsidRDefault="00513C41" w:rsidP="00841252">
      <w:pPr>
        <w:spacing w:line="240" w:lineRule="auto"/>
        <w:ind w:left="720" w:hanging="720"/>
        <w:rPr>
          <w:rFonts w:cs="Times New Roman"/>
        </w:rPr>
      </w:pPr>
      <w:proofErr w:type="gramStart"/>
      <w:r w:rsidRPr="00F40195">
        <w:rPr>
          <w:rFonts w:cs="Times New Roman"/>
        </w:rPr>
        <w:t>Mishel, Lawrence, &amp; Rothstein, Richard.</w:t>
      </w:r>
      <w:proofErr w:type="gramEnd"/>
      <w:r w:rsidRPr="00F40195">
        <w:rPr>
          <w:rFonts w:cs="Times New Roman"/>
        </w:rPr>
        <w:t xml:space="preserve"> (2002). </w:t>
      </w:r>
      <w:proofErr w:type="gramStart"/>
      <w:r w:rsidRPr="00F40195">
        <w:rPr>
          <w:rFonts w:cs="Times New Roman"/>
          <w:i/>
        </w:rPr>
        <w:t>The</w:t>
      </w:r>
      <w:proofErr w:type="gramEnd"/>
      <w:r w:rsidRPr="00F40195">
        <w:rPr>
          <w:rFonts w:cs="Times New Roman"/>
          <w:i/>
        </w:rPr>
        <w:t xml:space="preserve"> class size debate</w:t>
      </w:r>
      <w:r w:rsidRPr="00F40195">
        <w:rPr>
          <w:rFonts w:cs="Times New Roman"/>
        </w:rPr>
        <w:t>. Washington, DC: Economic Policy Institute.</w:t>
      </w:r>
    </w:p>
    <w:p w:rsidR="00513C41" w:rsidRPr="00F40195" w:rsidRDefault="00513C41" w:rsidP="00841252">
      <w:pPr>
        <w:spacing w:line="240" w:lineRule="auto"/>
        <w:ind w:left="720" w:hanging="720"/>
        <w:rPr>
          <w:rFonts w:cs="Times New Roman"/>
        </w:rPr>
      </w:pPr>
      <w:proofErr w:type="gramStart"/>
      <w:r w:rsidRPr="00F40195">
        <w:rPr>
          <w:rFonts w:cs="Times New Roman"/>
        </w:rPr>
        <w:t>Monk, David &amp; Walker, Billy.</w:t>
      </w:r>
      <w:proofErr w:type="gramEnd"/>
      <w:r w:rsidRPr="00F40195">
        <w:rPr>
          <w:rFonts w:cs="Times New Roman"/>
        </w:rPr>
        <w:t xml:space="preserve"> (1991). </w:t>
      </w:r>
      <w:proofErr w:type="gramStart"/>
      <w:r w:rsidRPr="00F40195">
        <w:rPr>
          <w:rFonts w:cs="Times New Roman"/>
        </w:rPr>
        <w:t>The</w:t>
      </w:r>
      <w:proofErr w:type="gramEnd"/>
      <w:r w:rsidRPr="00F40195">
        <w:rPr>
          <w:rFonts w:cs="Times New Roman"/>
        </w:rPr>
        <w:t xml:space="preserve"> Texas Cost of Education Index. </w:t>
      </w:r>
      <w:r w:rsidRPr="00F40195">
        <w:rPr>
          <w:rFonts w:cs="Times New Roman"/>
          <w:i/>
        </w:rPr>
        <w:t>Journal of Education Finance, 17</w:t>
      </w:r>
      <w:r w:rsidRPr="00F40195">
        <w:rPr>
          <w:rFonts w:cs="Times New Roman"/>
        </w:rPr>
        <w:t>(2), 172–192.</w:t>
      </w:r>
    </w:p>
    <w:p w:rsidR="00513C41" w:rsidRPr="00F40195" w:rsidRDefault="00513C41" w:rsidP="00841252">
      <w:pPr>
        <w:spacing w:line="240" w:lineRule="auto"/>
        <w:ind w:left="720" w:hanging="720"/>
        <w:rPr>
          <w:rFonts w:cs="Times New Roman"/>
        </w:rPr>
      </w:pPr>
      <w:r w:rsidRPr="00F40195">
        <w:rPr>
          <w:rFonts w:cs="Times New Roman"/>
        </w:rPr>
        <w:t xml:space="preserve">Monk, David. (1990). </w:t>
      </w:r>
      <w:r w:rsidRPr="00F40195">
        <w:rPr>
          <w:rFonts w:cs="Times New Roman"/>
          <w:i/>
        </w:rPr>
        <w:t>Educational finance: An economic approach</w:t>
      </w:r>
      <w:r w:rsidRPr="00F40195">
        <w:rPr>
          <w:rFonts w:cs="Times New Roman"/>
        </w:rPr>
        <w:t>. New York: McGraw-Hill.</w:t>
      </w:r>
    </w:p>
    <w:p w:rsidR="00513C41" w:rsidRPr="005468C1" w:rsidRDefault="00513C41" w:rsidP="005468C1">
      <w:pPr>
        <w:spacing w:line="240" w:lineRule="auto"/>
        <w:ind w:left="720" w:hanging="720"/>
        <w:rPr>
          <w:rFonts w:cs="Times New Roman"/>
          <w:szCs w:val="24"/>
        </w:rPr>
      </w:pPr>
      <w:proofErr w:type="gramStart"/>
      <w:r w:rsidRPr="00F40195">
        <w:rPr>
          <w:rFonts w:cs="Times New Roman"/>
        </w:rPr>
        <w:t>Montana Office of Public Instruction.</w:t>
      </w:r>
      <w:proofErr w:type="gramEnd"/>
      <w:r w:rsidRPr="00F40195">
        <w:rPr>
          <w:rFonts w:cs="Times New Roman"/>
        </w:rPr>
        <w:t xml:space="preserve"> </w:t>
      </w:r>
      <w:proofErr w:type="gramStart"/>
      <w:r w:rsidRPr="00F40195">
        <w:rPr>
          <w:rFonts w:cs="Times New Roman"/>
        </w:rPr>
        <w:t xml:space="preserve">(2011). </w:t>
      </w:r>
      <w:r w:rsidRPr="00F40195">
        <w:rPr>
          <w:rFonts w:cs="Times New Roman"/>
          <w:u w:val="single"/>
        </w:rPr>
        <w:t>Understanding Montana School Finance and School District Budgets.</w:t>
      </w:r>
      <w:proofErr w:type="gramEnd"/>
      <w:r w:rsidRPr="00F40195">
        <w:rPr>
          <w:rFonts w:cs="Times New Roman"/>
        </w:rPr>
        <w:t xml:space="preserve"> Helena, MT: Author. </w:t>
      </w:r>
      <w:proofErr w:type="gramStart"/>
      <w:r w:rsidRPr="00F40195">
        <w:rPr>
          <w:rFonts w:cs="Times New Roman"/>
        </w:rPr>
        <w:t>Downloaded February 21, 2013 from http://opi.mt.gov/pdf/schoolfinance/budget/</w:t>
      </w:r>
      <w:r w:rsidRPr="005468C1">
        <w:rPr>
          <w:rFonts w:cs="Times New Roman"/>
          <w:szCs w:val="24"/>
        </w:rPr>
        <w:t>UnderstSchlFin.pdf.</w:t>
      </w:r>
      <w:proofErr w:type="gramEnd"/>
    </w:p>
    <w:p w:rsidR="00513C41" w:rsidRPr="005468C1" w:rsidRDefault="00513C41" w:rsidP="005468C1">
      <w:pPr>
        <w:spacing w:line="240" w:lineRule="auto"/>
        <w:ind w:left="720" w:hanging="720"/>
        <w:rPr>
          <w:rFonts w:cs="Times New Roman"/>
          <w:szCs w:val="24"/>
        </w:rPr>
      </w:pPr>
      <w:r w:rsidRPr="005468C1">
        <w:rPr>
          <w:rFonts w:cs="Times New Roman"/>
          <w:szCs w:val="24"/>
        </w:rPr>
        <w:t xml:space="preserve">Mosteller, Frederick. </w:t>
      </w:r>
      <w:proofErr w:type="gramStart"/>
      <w:r w:rsidRPr="005468C1">
        <w:rPr>
          <w:rFonts w:cs="Times New Roman"/>
          <w:szCs w:val="24"/>
        </w:rPr>
        <w:t>(1995). The Tennessee study of class size in the early school grades.</w:t>
      </w:r>
      <w:proofErr w:type="gramEnd"/>
      <w:r w:rsidRPr="005468C1">
        <w:rPr>
          <w:rFonts w:cs="Times New Roman"/>
          <w:szCs w:val="24"/>
        </w:rPr>
        <w:t xml:space="preserve"> </w:t>
      </w:r>
      <w:r w:rsidRPr="005468C1">
        <w:rPr>
          <w:rFonts w:cs="Times New Roman"/>
          <w:i/>
          <w:iCs/>
          <w:szCs w:val="24"/>
        </w:rPr>
        <w:t>The Future of Children: Critical Issues for Children and Youths</w:t>
      </w:r>
      <w:r w:rsidRPr="005468C1">
        <w:rPr>
          <w:rFonts w:cs="Times New Roman"/>
          <w:szCs w:val="24"/>
        </w:rPr>
        <w:t xml:space="preserve"> </w:t>
      </w:r>
      <w:r w:rsidRPr="005468C1">
        <w:rPr>
          <w:rFonts w:cs="Times New Roman"/>
          <w:i/>
          <w:szCs w:val="24"/>
        </w:rPr>
        <w:t>5</w:t>
      </w:r>
      <w:r w:rsidRPr="005468C1">
        <w:rPr>
          <w:rFonts w:cs="Times New Roman"/>
          <w:szCs w:val="24"/>
        </w:rPr>
        <w:t>: 113-127.</w:t>
      </w:r>
    </w:p>
    <w:p w:rsidR="00513C41" w:rsidRPr="005468C1" w:rsidRDefault="00513C41" w:rsidP="005468C1">
      <w:pPr>
        <w:pStyle w:val="FootnoteText"/>
        <w:ind w:left="810" w:hanging="810"/>
        <w:rPr>
          <w:sz w:val="24"/>
          <w:szCs w:val="24"/>
        </w:rPr>
      </w:pPr>
      <w:proofErr w:type="gramStart"/>
      <w:r w:rsidRPr="005468C1">
        <w:rPr>
          <w:sz w:val="24"/>
          <w:szCs w:val="24"/>
        </w:rPr>
        <w:lastRenderedPageBreak/>
        <w:t>National Center for Education Statistics’ National Assessment of Education Progress web site.</w:t>
      </w:r>
      <w:proofErr w:type="gramEnd"/>
      <w:r w:rsidRPr="005468C1">
        <w:rPr>
          <w:sz w:val="24"/>
          <w:szCs w:val="24"/>
        </w:rPr>
        <w:t xml:space="preserve"> Retrieved November 21, 2011 from </w:t>
      </w:r>
      <w:hyperlink r:id="rId49" w:anchor="ques3a" w:history="1">
        <w:r w:rsidR="005468C1" w:rsidRPr="005468C1">
          <w:rPr>
            <w:rStyle w:val="Hyperlink"/>
            <w:sz w:val="24"/>
            <w:szCs w:val="24"/>
          </w:rPr>
          <w:t>http://nces.ed.gov/nationsreportcard/faq.asp#ques3a</w:t>
        </w:r>
      </w:hyperlink>
    </w:p>
    <w:p w:rsidR="005468C1" w:rsidRDefault="005468C1" w:rsidP="005468C1">
      <w:pPr>
        <w:shd w:val="clear" w:color="auto" w:fill="FFFFFF"/>
        <w:spacing w:line="240" w:lineRule="auto"/>
        <w:rPr>
          <w:color w:val="222222"/>
          <w:szCs w:val="24"/>
        </w:rPr>
      </w:pPr>
      <w:proofErr w:type="gramStart"/>
      <w:r w:rsidRPr="005468C1">
        <w:rPr>
          <w:color w:val="222222"/>
          <w:szCs w:val="24"/>
        </w:rPr>
        <w:t>National Center for Education Statistics’ Common Core of Data</w:t>
      </w:r>
      <w:r w:rsidR="00E725F4">
        <w:rPr>
          <w:color w:val="222222"/>
          <w:szCs w:val="24"/>
        </w:rPr>
        <w:t xml:space="preserve"> (2013)</w:t>
      </w:r>
      <w:r w:rsidRPr="005468C1">
        <w:rPr>
          <w:color w:val="222222"/>
          <w:szCs w:val="24"/>
        </w:rPr>
        <w:t>.</w:t>
      </w:r>
      <w:proofErr w:type="gramEnd"/>
      <w:r w:rsidRPr="005468C1">
        <w:rPr>
          <w:color w:val="222222"/>
          <w:szCs w:val="24"/>
        </w:rPr>
        <w:t xml:space="preserve"> Retrieved </w:t>
      </w:r>
      <w:r>
        <w:rPr>
          <w:color w:val="222222"/>
          <w:szCs w:val="24"/>
        </w:rPr>
        <w:t>March, 2014</w:t>
      </w:r>
    </w:p>
    <w:p w:rsidR="005468C1" w:rsidRDefault="005468C1" w:rsidP="005468C1">
      <w:pPr>
        <w:shd w:val="clear" w:color="auto" w:fill="FFFFFF"/>
        <w:spacing w:line="240" w:lineRule="auto"/>
        <w:ind w:firstLine="720"/>
        <w:rPr>
          <w:rFonts w:ascii="Arial" w:hAnsi="Arial" w:cs="Arial"/>
          <w:color w:val="222222"/>
          <w:szCs w:val="24"/>
        </w:rPr>
      </w:pPr>
      <w:proofErr w:type="gramStart"/>
      <w:r w:rsidRPr="005468C1">
        <w:rPr>
          <w:color w:val="222222"/>
          <w:szCs w:val="24"/>
        </w:rPr>
        <w:t>from</w:t>
      </w:r>
      <w:proofErr w:type="gramEnd"/>
      <w:r w:rsidRPr="005468C1">
        <w:rPr>
          <w:color w:val="222222"/>
          <w:szCs w:val="24"/>
        </w:rPr>
        <w:t>:</w:t>
      </w:r>
      <w:r w:rsidRPr="005468C1">
        <w:rPr>
          <w:rStyle w:val="apple-converted-space"/>
          <w:color w:val="222222"/>
          <w:szCs w:val="24"/>
        </w:rPr>
        <w:t> </w:t>
      </w:r>
      <w:hyperlink r:id="rId50" w:tgtFrame="_blank" w:history="1">
        <w:r w:rsidRPr="005468C1">
          <w:rPr>
            <w:rStyle w:val="Hyperlink"/>
            <w:color w:val="1155CC"/>
            <w:szCs w:val="24"/>
          </w:rPr>
          <w:t>http://nces.ed.gov/ccd/</w:t>
        </w:r>
      </w:hyperlink>
    </w:p>
    <w:p w:rsidR="00E725F4" w:rsidRDefault="005468C1" w:rsidP="005468C1">
      <w:pPr>
        <w:shd w:val="clear" w:color="auto" w:fill="FFFFFF"/>
        <w:spacing w:line="240" w:lineRule="auto"/>
        <w:rPr>
          <w:color w:val="222222"/>
          <w:szCs w:val="24"/>
        </w:rPr>
      </w:pPr>
      <w:proofErr w:type="gramStart"/>
      <w:r w:rsidRPr="005468C1">
        <w:rPr>
          <w:color w:val="222222"/>
          <w:szCs w:val="24"/>
        </w:rPr>
        <w:t>National Education Association’ Ranking of State &amp; Estimates of School Statistics</w:t>
      </w:r>
      <w:r w:rsidR="00E725F4">
        <w:rPr>
          <w:color w:val="222222"/>
          <w:szCs w:val="24"/>
        </w:rPr>
        <w:t xml:space="preserve"> (2013).</w:t>
      </w:r>
      <w:proofErr w:type="gramEnd"/>
    </w:p>
    <w:p w:rsidR="005468C1" w:rsidRPr="005468C1" w:rsidRDefault="005468C1" w:rsidP="00E725F4">
      <w:pPr>
        <w:shd w:val="clear" w:color="auto" w:fill="FFFFFF"/>
        <w:spacing w:line="240" w:lineRule="auto"/>
        <w:ind w:firstLine="720"/>
        <w:rPr>
          <w:rFonts w:ascii="Arial" w:hAnsi="Arial" w:cs="Arial"/>
          <w:color w:val="222222"/>
          <w:szCs w:val="24"/>
        </w:rPr>
      </w:pPr>
      <w:r w:rsidRPr="005468C1">
        <w:rPr>
          <w:color w:val="222222"/>
          <w:szCs w:val="24"/>
        </w:rPr>
        <w:t>Retrieved February, 2014 from</w:t>
      </w:r>
      <w:proofErr w:type="gramStart"/>
      <w:r w:rsidRPr="005468C1">
        <w:rPr>
          <w:color w:val="222222"/>
          <w:szCs w:val="24"/>
        </w:rPr>
        <w:t>:</w:t>
      </w:r>
      <w:proofErr w:type="gramEnd"/>
      <w:r w:rsidR="00803AF0">
        <w:fldChar w:fldCharType="begin"/>
      </w:r>
      <w:r w:rsidR="00803AF0">
        <w:instrText xml:space="preserve"> HYPERLINK "http://www.nea.org/rankings-and-estimates" \t "_blank" </w:instrText>
      </w:r>
      <w:r w:rsidR="00803AF0">
        <w:fldChar w:fldCharType="separate"/>
      </w:r>
      <w:r w:rsidRPr="005468C1">
        <w:rPr>
          <w:rStyle w:val="Hyperlink"/>
          <w:color w:val="1155CC"/>
          <w:szCs w:val="24"/>
        </w:rPr>
        <w:t>http://www.nea.org/rankings-and-estimates</w:t>
      </w:r>
      <w:r w:rsidR="00803AF0">
        <w:rPr>
          <w:rStyle w:val="Hyperlink"/>
          <w:color w:val="1155CC"/>
          <w:szCs w:val="24"/>
        </w:rPr>
        <w:fldChar w:fldCharType="end"/>
      </w:r>
    </w:p>
    <w:p w:rsidR="005468C1" w:rsidRPr="005468C1" w:rsidRDefault="005468C1" w:rsidP="0030434D">
      <w:pPr>
        <w:pStyle w:val="FootnoteText"/>
        <w:rPr>
          <w:sz w:val="24"/>
          <w:szCs w:val="24"/>
        </w:rPr>
      </w:pPr>
    </w:p>
    <w:p w:rsidR="00513C41" w:rsidRPr="005468C1" w:rsidRDefault="00513C41" w:rsidP="005468C1">
      <w:pPr>
        <w:spacing w:line="240" w:lineRule="auto"/>
        <w:ind w:left="720" w:hanging="720"/>
        <w:rPr>
          <w:rFonts w:cs="Times New Roman"/>
          <w:szCs w:val="24"/>
        </w:rPr>
      </w:pPr>
      <w:proofErr w:type="gramStart"/>
      <w:r w:rsidRPr="005468C1">
        <w:rPr>
          <w:rFonts w:cs="Times New Roman"/>
          <w:szCs w:val="24"/>
        </w:rPr>
        <w:t>National Council on Teacher Quality</w:t>
      </w:r>
      <w:r w:rsidR="009739FE" w:rsidRPr="005468C1">
        <w:rPr>
          <w:rFonts w:cs="Times New Roman"/>
          <w:szCs w:val="24"/>
        </w:rPr>
        <w:t>.</w:t>
      </w:r>
      <w:proofErr w:type="gramEnd"/>
      <w:r w:rsidR="009739FE" w:rsidRPr="005468C1">
        <w:rPr>
          <w:rFonts w:cs="Times New Roman"/>
          <w:szCs w:val="24"/>
        </w:rPr>
        <w:t xml:space="preserve"> </w:t>
      </w:r>
      <w:r w:rsidRPr="005468C1">
        <w:rPr>
          <w:rFonts w:cs="Times New Roman"/>
          <w:szCs w:val="24"/>
        </w:rPr>
        <w:t>(2011)</w:t>
      </w:r>
      <w:r w:rsidR="009739FE" w:rsidRPr="005468C1">
        <w:rPr>
          <w:rFonts w:cs="Times New Roman"/>
          <w:szCs w:val="24"/>
        </w:rPr>
        <w:t xml:space="preserve">. </w:t>
      </w:r>
      <w:r w:rsidRPr="005468C1">
        <w:rPr>
          <w:rFonts w:cs="Times New Roman"/>
          <w:i/>
          <w:szCs w:val="24"/>
        </w:rPr>
        <w:t>State of the States: Trends and Early Lessons on Teacher Evaluation and Effectiveness Policies</w:t>
      </w:r>
      <w:r w:rsidR="009739FE" w:rsidRPr="005468C1">
        <w:rPr>
          <w:rFonts w:cs="Times New Roman"/>
          <w:szCs w:val="24"/>
        </w:rPr>
        <w:t xml:space="preserve">. </w:t>
      </w:r>
      <w:r w:rsidRPr="005468C1">
        <w:rPr>
          <w:rFonts w:cs="Times New Roman"/>
          <w:szCs w:val="24"/>
        </w:rPr>
        <w:t xml:space="preserve">Washington, D.C.: Author. </w:t>
      </w:r>
      <w:proofErr w:type="gramStart"/>
      <w:r w:rsidRPr="005468C1">
        <w:rPr>
          <w:rFonts w:cs="Times New Roman"/>
          <w:szCs w:val="24"/>
        </w:rPr>
        <w:t>National Education Commission on Time and Learning.</w:t>
      </w:r>
      <w:proofErr w:type="gramEnd"/>
      <w:r w:rsidRPr="005468C1">
        <w:rPr>
          <w:rFonts w:cs="Times New Roman"/>
          <w:szCs w:val="24"/>
        </w:rPr>
        <w:t xml:space="preserve"> </w:t>
      </w:r>
      <w:proofErr w:type="gramStart"/>
      <w:r w:rsidRPr="005468C1">
        <w:rPr>
          <w:rFonts w:cs="Times New Roman"/>
          <w:szCs w:val="24"/>
        </w:rPr>
        <w:t xml:space="preserve">(1994). </w:t>
      </w:r>
      <w:r w:rsidRPr="005468C1">
        <w:rPr>
          <w:rFonts w:cs="Times New Roman"/>
          <w:i/>
          <w:szCs w:val="24"/>
        </w:rPr>
        <w:t>Prisoners of time.</w:t>
      </w:r>
      <w:proofErr w:type="gramEnd"/>
      <w:r w:rsidRPr="005468C1">
        <w:rPr>
          <w:rFonts w:cs="Times New Roman"/>
          <w:i/>
          <w:szCs w:val="24"/>
        </w:rPr>
        <w:t xml:space="preserve"> </w:t>
      </w:r>
      <w:r w:rsidRPr="005468C1">
        <w:rPr>
          <w:rFonts w:cs="Times New Roman"/>
          <w:szCs w:val="24"/>
        </w:rPr>
        <w:t>Washington, DC: Author.</w:t>
      </w:r>
    </w:p>
    <w:p w:rsidR="00513C41" w:rsidRPr="005468C1" w:rsidRDefault="00513C41" w:rsidP="005468C1">
      <w:pPr>
        <w:spacing w:line="240" w:lineRule="auto"/>
        <w:ind w:left="720" w:hanging="720"/>
        <w:rPr>
          <w:rFonts w:cs="Times New Roman"/>
          <w:szCs w:val="24"/>
        </w:rPr>
      </w:pPr>
      <w:proofErr w:type="gramStart"/>
      <w:r w:rsidRPr="005468C1">
        <w:rPr>
          <w:rFonts w:cs="Times New Roman"/>
          <w:szCs w:val="24"/>
        </w:rPr>
        <w:t>National Johnson-O’Malley Association.</w:t>
      </w:r>
      <w:proofErr w:type="gramEnd"/>
      <w:r w:rsidRPr="005468C1">
        <w:rPr>
          <w:rFonts w:cs="Times New Roman"/>
          <w:szCs w:val="24"/>
        </w:rPr>
        <w:t xml:space="preserve"> </w:t>
      </w:r>
      <w:proofErr w:type="gramStart"/>
      <w:r w:rsidRPr="005468C1">
        <w:rPr>
          <w:rFonts w:cs="Times New Roman"/>
          <w:szCs w:val="24"/>
        </w:rPr>
        <w:t xml:space="preserve">(2009). </w:t>
      </w:r>
      <w:r w:rsidRPr="005468C1">
        <w:rPr>
          <w:rFonts w:cs="Times New Roman"/>
          <w:szCs w:val="24"/>
          <w:u w:val="single"/>
        </w:rPr>
        <w:t>JOM Program Handbook.</w:t>
      </w:r>
      <w:proofErr w:type="gramEnd"/>
      <w:r w:rsidRPr="005468C1">
        <w:rPr>
          <w:rFonts w:cs="Times New Roman"/>
          <w:szCs w:val="24"/>
          <w:u w:val="single"/>
        </w:rPr>
        <w:t xml:space="preserve"> </w:t>
      </w:r>
      <w:r w:rsidRPr="005468C1">
        <w:rPr>
          <w:rFonts w:cs="Times New Roman"/>
          <w:szCs w:val="24"/>
        </w:rPr>
        <w:t>Okmulgee, OK: Author. Downloaded February 20, 3013 from: http://www.aps.edu/indian-education/documents/JOM%20Handbook.pdf</w:t>
      </w:r>
    </w:p>
    <w:p w:rsidR="00513C41" w:rsidRPr="005468C1" w:rsidRDefault="00513C41" w:rsidP="005468C1">
      <w:pPr>
        <w:spacing w:line="240" w:lineRule="auto"/>
        <w:ind w:left="720" w:hanging="720"/>
        <w:rPr>
          <w:rFonts w:cs="Times New Roman"/>
          <w:szCs w:val="24"/>
        </w:rPr>
      </w:pPr>
      <w:r w:rsidRPr="005468C1">
        <w:rPr>
          <w:rFonts w:cs="Times New Roman"/>
          <w:szCs w:val="24"/>
        </w:rPr>
        <w:t xml:space="preserve">Nelli, Robert. </w:t>
      </w:r>
      <w:proofErr w:type="gramStart"/>
      <w:r w:rsidRPr="005468C1">
        <w:rPr>
          <w:rFonts w:cs="Times New Roman"/>
          <w:szCs w:val="24"/>
        </w:rPr>
        <w:t>(2006, May).</w:t>
      </w:r>
      <w:proofErr w:type="gramEnd"/>
      <w:r w:rsidRPr="005468C1">
        <w:rPr>
          <w:rFonts w:cs="Times New Roman"/>
          <w:szCs w:val="24"/>
        </w:rPr>
        <w:t xml:space="preserve"> </w:t>
      </w:r>
      <w:r w:rsidRPr="005468C1">
        <w:rPr>
          <w:rFonts w:cs="Times New Roman"/>
          <w:i/>
          <w:szCs w:val="24"/>
        </w:rPr>
        <w:t xml:space="preserve">Operations and maintenance adequacy in </w:t>
      </w:r>
      <w:proofErr w:type="gramStart"/>
      <w:r w:rsidRPr="005468C1">
        <w:rPr>
          <w:rFonts w:cs="Times New Roman"/>
          <w:i/>
          <w:szCs w:val="24"/>
        </w:rPr>
        <w:t>California  public</w:t>
      </w:r>
      <w:proofErr w:type="gramEnd"/>
      <w:r w:rsidRPr="005468C1">
        <w:rPr>
          <w:rFonts w:cs="Times New Roman"/>
          <w:i/>
          <w:szCs w:val="24"/>
        </w:rPr>
        <w:t xml:space="preserve"> schools: An evidence-based approach</w:t>
      </w:r>
      <w:r w:rsidRPr="005468C1">
        <w:rPr>
          <w:rFonts w:cs="Times New Roman"/>
          <w:szCs w:val="24"/>
        </w:rPr>
        <w:t xml:space="preserve">. </w:t>
      </w:r>
      <w:proofErr w:type="gramStart"/>
      <w:r w:rsidRPr="005468C1">
        <w:rPr>
          <w:rFonts w:cs="Times New Roman"/>
          <w:szCs w:val="24"/>
        </w:rPr>
        <w:t>Dissertation.</w:t>
      </w:r>
      <w:proofErr w:type="gramEnd"/>
      <w:r w:rsidRPr="005468C1">
        <w:rPr>
          <w:rFonts w:cs="Times New Roman"/>
          <w:szCs w:val="24"/>
        </w:rPr>
        <w:t xml:space="preserve"> Los Angeles, CA:  Rossier School of Education, University of Southern California.</w:t>
      </w:r>
    </w:p>
    <w:p w:rsidR="00513C41" w:rsidRPr="005468C1" w:rsidRDefault="00513C41" w:rsidP="005468C1">
      <w:pPr>
        <w:spacing w:line="240" w:lineRule="auto"/>
        <w:ind w:left="720" w:hanging="720"/>
        <w:rPr>
          <w:rFonts w:cs="Times New Roman"/>
          <w:szCs w:val="24"/>
        </w:rPr>
      </w:pPr>
      <w:proofErr w:type="gramStart"/>
      <w:r w:rsidRPr="005468C1">
        <w:rPr>
          <w:rFonts w:cs="Times New Roman"/>
          <w:szCs w:val="24"/>
        </w:rPr>
        <w:t>Nye, Barbara A., Hedges, Lawrence, V., &amp; Konstantopulos, Spyros</w:t>
      </w:r>
      <w:r w:rsidR="009739FE" w:rsidRPr="005468C1">
        <w:rPr>
          <w:rFonts w:cs="Times New Roman"/>
          <w:szCs w:val="24"/>
        </w:rPr>
        <w:t>.</w:t>
      </w:r>
      <w:proofErr w:type="gramEnd"/>
      <w:r w:rsidR="009739FE" w:rsidRPr="005468C1">
        <w:rPr>
          <w:rFonts w:cs="Times New Roman"/>
          <w:szCs w:val="24"/>
        </w:rPr>
        <w:t xml:space="preserve"> </w:t>
      </w:r>
      <w:r w:rsidRPr="005468C1">
        <w:rPr>
          <w:rFonts w:cs="Times New Roman"/>
          <w:szCs w:val="24"/>
        </w:rPr>
        <w:t xml:space="preserve">(2001b). </w:t>
      </w:r>
      <w:proofErr w:type="gramStart"/>
      <w:r w:rsidRPr="005468C1">
        <w:rPr>
          <w:rFonts w:cs="Times New Roman"/>
          <w:szCs w:val="24"/>
        </w:rPr>
        <w:t>Are</w:t>
      </w:r>
      <w:proofErr w:type="gramEnd"/>
      <w:r w:rsidRPr="005468C1">
        <w:rPr>
          <w:rFonts w:cs="Times New Roman"/>
          <w:szCs w:val="24"/>
        </w:rPr>
        <w:t xml:space="preserve"> effects of small cumulative: Evidence from a Tennessee experiment, </w:t>
      </w:r>
      <w:r w:rsidRPr="005468C1">
        <w:rPr>
          <w:rFonts w:cs="Times New Roman"/>
          <w:i/>
          <w:iCs/>
          <w:szCs w:val="24"/>
        </w:rPr>
        <w:t>Journal of Educational Research</w:t>
      </w:r>
      <w:r w:rsidRPr="005468C1">
        <w:rPr>
          <w:rFonts w:cs="Times New Roman"/>
          <w:szCs w:val="24"/>
        </w:rPr>
        <w:t xml:space="preserve">, </w:t>
      </w:r>
      <w:r w:rsidRPr="005468C1">
        <w:rPr>
          <w:rFonts w:cs="Times New Roman"/>
          <w:i/>
          <w:szCs w:val="24"/>
        </w:rPr>
        <w:t>94</w:t>
      </w:r>
      <w:r w:rsidRPr="005468C1">
        <w:rPr>
          <w:rFonts w:cs="Times New Roman"/>
          <w:szCs w:val="24"/>
        </w:rPr>
        <w:t>(6), 336</w:t>
      </w:r>
      <w:r w:rsidRPr="005468C1">
        <w:rPr>
          <w:rStyle w:val="FontStyle28"/>
          <w:rFonts w:ascii="Times New Roman" w:hAnsi="Times New Roman" w:cs="Times New Roman"/>
          <w:b/>
          <w:sz w:val="24"/>
          <w:szCs w:val="24"/>
        </w:rPr>
        <w:t>–</w:t>
      </w:r>
      <w:r w:rsidRPr="005468C1">
        <w:rPr>
          <w:rFonts w:cs="Times New Roman"/>
          <w:szCs w:val="24"/>
        </w:rPr>
        <w:t>345.</w:t>
      </w:r>
    </w:p>
    <w:p w:rsidR="00513C41" w:rsidRPr="00F40195" w:rsidRDefault="00513C41" w:rsidP="005468C1">
      <w:pPr>
        <w:spacing w:line="240" w:lineRule="auto"/>
        <w:ind w:left="720" w:hanging="720"/>
        <w:rPr>
          <w:rFonts w:cs="Times New Roman"/>
        </w:rPr>
      </w:pPr>
      <w:proofErr w:type="gramStart"/>
      <w:r w:rsidRPr="005468C1">
        <w:rPr>
          <w:rFonts w:cs="Times New Roman"/>
          <w:szCs w:val="24"/>
        </w:rPr>
        <w:t>Nye, Barbara, Hedges, Lawrence, V., &amp; Konstantopoulos, Spyros.</w:t>
      </w:r>
      <w:proofErr w:type="gramEnd"/>
      <w:r w:rsidRPr="005468C1">
        <w:rPr>
          <w:rFonts w:cs="Times New Roman"/>
          <w:szCs w:val="24"/>
        </w:rPr>
        <w:t xml:space="preserve"> (2002). Do Low-achieving Students Benefit More </w:t>
      </w:r>
      <w:proofErr w:type="gramStart"/>
      <w:r w:rsidRPr="005468C1">
        <w:rPr>
          <w:rFonts w:cs="Times New Roman"/>
          <w:szCs w:val="24"/>
        </w:rPr>
        <w:t>From</w:t>
      </w:r>
      <w:proofErr w:type="gramEnd"/>
      <w:r w:rsidRPr="005468C1">
        <w:rPr>
          <w:rFonts w:cs="Times New Roman"/>
          <w:szCs w:val="24"/>
        </w:rPr>
        <w:t xml:space="preserve"> Small Classes?  Evidence </w:t>
      </w:r>
      <w:proofErr w:type="gramStart"/>
      <w:r w:rsidRPr="005468C1">
        <w:rPr>
          <w:rFonts w:cs="Times New Roman"/>
          <w:szCs w:val="24"/>
        </w:rPr>
        <w:t>Fro</w:t>
      </w:r>
      <w:r w:rsidRPr="00F40195">
        <w:rPr>
          <w:rFonts w:cs="Times New Roman"/>
        </w:rPr>
        <w:t>m</w:t>
      </w:r>
      <w:proofErr w:type="gramEnd"/>
      <w:r w:rsidRPr="00F40195">
        <w:rPr>
          <w:rFonts w:cs="Times New Roman"/>
        </w:rPr>
        <w:t xml:space="preserve"> the Tennessee Class Size Experiment. </w:t>
      </w:r>
      <w:r w:rsidRPr="00F40195">
        <w:rPr>
          <w:rFonts w:cs="Times New Roman"/>
          <w:i/>
          <w:iCs/>
        </w:rPr>
        <w:t>Educational Evaluation &amp; Policy Analysis 24</w:t>
      </w:r>
      <w:r w:rsidRPr="00F40195">
        <w:rPr>
          <w:rFonts w:cs="Times New Roman"/>
        </w:rPr>
        <w:t>(3), 201-217.</w:t>
      </w:r>
    </w:p>
    <w:p w:rsidR="00513C41" w:rsidRPr="00F40195" w:rsidRDefault="00513C41" w:rsidP="00841252">
      <w:pPr>
        <w:spacing w:line="240" w:lineRule="auto"/>
        <w:ind w:left="720" w:hanging="720"/>
        <w:rPr>
          <w:rFonts w:cs="Times New Roman"/>
        </w:rPr>
      </w:pPr>
      <w:r w:rsidRPr="00F40195">
        <w:rPr>
          <w:rFonts w:cs="Times New Roman"/>
        </w:rPr>
        <w:t xml:space="preserve">Odden, Allan, &amp; Archibald, Sarah. </w:t>
      </w:r>
      <w:proofErr w:type="gramStart"/>
      <w:r w:rsidRPr="00F40195">
        <w:rPr>
          <w:rFonts w:cs="Times New Roman"/>
        </w:rPr>
        <w:t xml:space="preserve">(2009). </w:t>
      </w:r>
      <w:r w:rsidRPr="00F40195">
        <w:rPr>
          <w:rFonts w:cs="Times New Roman"/>
          <w:i/>
        </w:rPr>
        <w:t>Doubling student performance and finding the resources to do it</w:t>
      </w:r>
      <w:r w:rsidRPr="00F40195">
        <w:rPr>
          <w:rFonts w:cs="Times New Roman"/>
        </w:rPr>
        <w:t>.</w:t>
      </w:r>
      <w:proofErr w:type="gramEnd"/>
      <w:r w:rsidRPr="00F40195">
        <w:rPr>
          <w:rFonts w:cs="Times New Roman"/>
        </w:rPr>
        <w:t xml:space="preserve"> Thousand Oaks, CA: Corwin Press.</w:t>
      </w:r>
    </w:p>
    <w:p w:rsidR="00513C41" w:rsidRPr="00F40195" w:rsidRDefault="00513C41" w:rsidP="00841252">
      <w:pPr>
        <w:spacing w:line="240" w:lineRule="auto"/>
        <w:ind w:left="720" w:hanging="720"/>
        <w:rPr>
          <w:rFonts w:cs="Times New Roman"/>
        </w:rPr>
      </w:pPr>
      <w:r w:rsidRPr="00F40195">
        <w:rPr>
          <w:rFonts w:cs="Times New Roman"/>
        </w:rPr>
        <w:t>Odden, Allan</w:t>
      </w:r>
      <w:r w:rsidR="00311898" w:rsidRPr="00F40195">
        <w:rPr>
          <w:rFonts w:cs="Times New Roman"/>
        </w:rPr>
        <w:t>, &amp; Picus, Lawrence O. (2014</w:t>
      </w:r>
      <w:r w:rsidRPr="00F40195">
        <w:rPr>
          <w:rFonts w:cs="Times New Roman"/>
        </w:rPr>
        <w:t xml:space="preserve">). </w:t>
      </w:r>
      <w:r w:rsidRPr="00F40195">
        <w:rPr>
          <w:rFonts w:cs="Times New Roman"/>
          <w:i/>
        </w:rPr>
        <w:t>School Finance: A Policy Perspective, 5</w:t>
      </w:r>
      <w:r w:rsidRPr="00F40195">
        <w:rPr>
          <w:rFonts w:cs="Times New Roman"/>
          <w:i/>
          <w:vertAlign w:val="superscript"/>
        </w:rPr>
        <w:t>th</w:t>
      </w:r>
      <w:r w:rsidRPr="00F40195">
        <w:rPr>
          <w:rFonts w:cs="Times New Roman"/>
          <w:i/>
        </w:rPr>
        <w:t xml:space="preserve"> edition</w:t>
      </w:r>
      <w:r w:rsidRPr="00F40195">
        <w:rPr>
          <w:rFonts w:cs="Times New Roman"/>
        </w:rPr>
        <w:t>. New York: McGraw-Hill.</w:t>
      </w:r>
    </w:p>
    <w:p w:rsidR="00513C41" w:rsidRPr="00F40195" w:rsidRDefault="00513C41" w:rsidP="00841252">
      <w:pPr>
        <w:spacing w:line="240" w:lineRule="auto"/>
        <w:ind w:left="720" w:hanging="720"/>
        <w:rPr>
          <w:rFonts w:cs="Times New Roman"/>
        </w:rPr>
      </w:pPr>
      <w:r w:rsidRPr="00F40195">
        <w:rPr>
          <w:rFonts w:cs="Times New Roman"/>
        </w:rPr>
        <w:t xml:space="preserve">Odden, Allan. </w:t>
      </w:r>
      <w:proofErr w:type="gramStart"/>
      <w:r w:rsidRPr="00F40195">
        <w:rPr>
          <w:rFonts w:cs="Times New Roman"/>
        </w:rPr>
        <w:t>(1997). How to rethink school budgets to support school transformation.</w:t>
      </w:r>
      <w:proofErr w:type="gramEnd"/>
      <w:r w:rsidRPr="00F40195">
        <w:rPr>
          <w:rFonts w:cs="Times New Roman"/>
        </w:rPr>
        <w:t xml:space="preserve"> </w:t>
      </w:r>
      <w:proofErr w:type="gramStart"/>
      <w:r w:rsidRPr="00F40195">
        <w:rPr>
          <w:rFonts w:cs="Times New Roman"/>
          <w:i/>
          <w:u w:val="single"/>
        </w:rPr>
        <w:t>Getting</w:t>
      </w:r>
      <w:r w:rsidRPr="00F40195">
        <w:rPr>
          <w:rFonts w:cs="Times New Roman"/>
          <w:u w:val="single"/>
        </w:rPr>
        <w:t xml:space="preserve"> </w:t>
      </w:r>
      <w:r w:rsidRPr="00F40195">
        <w:rPr>
          <w:rFonts w:cs="Times New Roman"/>
          <w:i/>
          <w:u w:val="single"/>
        </w:rPr>
        <w:t>better by design series</w:t>
      </w:r>
      <w:r w:rsidRPr="00F40195">
        <w:rPr>
          <w:rFonts w:cs="Times New Roman"/>
          <w:u w:val="single"/>
        </w:rPr>
        <w:t>, Volume</w:t>
      </w:r>
      <w:r w:rsidRPr="00F40195">
        <w:rPr>
          <w:rFonts w:cs="Times New Roman"/>
        </w:rPr>
        <w:t xml:space="preserve"> </w:t>
      </w:r>
      <w:r w:rsidRPr="00F40195">
        <w:rPr>
          <w:rFonts w:cs="Times New Roman"/>
          <w:u w:val="single"/>
        </w:rPr>
        <w:t>3</w:t>
      </w:r>
      <w:r w:rsidRPr="00F40195">
        <w:rPr>
          <w:rFonts w:cs="Times New Roman"/>
        </w:rPr>
        <w:t>.</w:t>
      </w:r>
      <w:proofErr w:type="gramEnd"/>
      <w:r w:rsidRPr="00F40195">
        <w:rPr>
          <w:rFonts w:cs="Times New Roman"/>
        </w:rPr>
        <w:t xml:space="preserve"> Arlington, VA: New American Schools.</w:t>
      </w:r>
    </w:p>
    <w:p w:rsidR="00513C41" w:rsidRPr="00F40195" w:rsidRDefault="00513C41" w:rsidP="00841252">
      <w:pPr>
        <w:spacing w:line="240" w:lineRule="auto"/>
        <w:ind w:left="720" w:hanging="720"/>
        <w:rPr>
          <w:rFonts w:cs="Times New Roman"/>
        </w:rPr>
      </w:pPr>
      <w:r w:rsidRPr="00F40195">
        <w:rPr>
          <w:rFonts w:cs="Times New Roman"/>
        </w:rPr>
        <w:t xml:space="preserve">Odden, Allan. </w:t>
      </w:r>
      <w:proofErr w:type="gramStart"/>
      <w:r w:rsidRPr="00F40195">
        <w:rPr>
          <w:rFonts w:cs="Times New Roman"/>
        </w:rPr>
        <w:t xml:space="preserve">(2009). </w:t>
      </w:r>
      <w:r w:rsidRPr="00F40195">
        <w:rPr>
          <w:rFonts w:cs="Times New Roman"/>
          <w:i/>
        </w:rPr>
        <w:t>Ten strategies for doubling student performance</w:t>
      </w:r>
      <w:r w:rsidRPr="00F40195">
        <w:rPr>
          <w:rFonts w:cs="Times New Roman"/>
        </w:rPr>
        <w:t>.</w:t>
      </w:r>
      <w:proofErr w:type="gramEnd"/>
      <w:r w:rsidRPr="00F40195">
        <w:rPr>
          <w:rFonts w:cs="Times New Roman"/>
        </w:rPr>
        <w:t xml:space="preserve"> Thousand Oaks, CA: Corwin Press.</w:t>
      </w:r>
    </w:p>
    <w:p w:rsidR="00513C41" w:rsidRPr="00F40195" w:rsidRDefault="00513C41" w:rsidP="00841252">
      <w:pPr>
        <w:spacing w:line="240" w:lineRule="auto"/>
        <w:ind w:left="720" w:hanging="720"/>
        <w:rPr>
          <w:rFonts w:cs="Times New Roman"/>
        </w:rPr>
      </w:pPr>
      <w:r w:rsidRPr="00F40195">
        <w:rPr>
          <w:rFonts w:cs="Times New Roman"/>
        </w:rPr>
        <w:t xml:space="preserve">Odden, Allan. </w:t>
      </w:r>
      <w:proofErr w:type="gramStart"/>
      <w:r w:rsidRPr="00F40195">
        <w:rPr>
          <w:rFonts w:cs="Times New Roman"/>
        </w:rPr>
        <w:t xml:space="preserve">(2011a). </w:t>
      </w:r>
      <w:r w:rsidRPr="00F40195">
        <w:rPr>
          <w:rFonts w:cs="Times New Roman"/>
          <w:bCs/>
          <w:i/>
        </w:rPr>
        <w:t>Strategic management of human capital in education</w:t>
      </w:r>
      <w:r w:rsidRPr="00F40195">
        <w:rPr>
          <w:rFonts w:cs="Times New Roman"/>
          <w:bCs/>
        </w:rPr>
        <w:t>.</w:t>
      </w:r>
      <w:proofErr w:type="gramEnd"/>
      <w:r w:rsidRPr="00F40195">
        <w:rPr>
          <w:rFonts w:cs="Times New Roman"/>
          <w:bCs/>
        </w:rPr>
        <w:t xml:space="preserve"> New York: Routledge Press</w:t>
      </w:r>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Odden, Allan. (2011b). </w:t>
      </w:r>
      <w:proofErr w:type="gramStart"/>
      <w:r w:rsidRPr="00F40195">
        <w:rPr>
          <w:rFonts w:cs="Times New Roman"/>
        </w:rPr>
        <w:t>The</w:t>
      </w:r>
      <w:proofErr w:type="gramEnd"/>
      <w:r w:rsidRPr="00F40195">
        <w:rPr>
          <w:rFonts w:cs="Times New Roman"/>
        </w:rPr>
        <w:t xml:space="preserve"> dollars and sense of comprehensive professional learning. </w:t>
      </w:r>
      <w:r w:rsidRPr="00F40195">
        <w:rPr>
          <w:rFonts w:cs="Times New Roman"/>
          <w:i/>
          <w:iCs/>
        </w:rPr>
        <w:t xml:space="preserve">Journal of Staff Development, </w:t>
      </w:r>
      <w:r w:rsidRPr="00F40195">
        <w:rPr>
          <w:rFonts w:cs="Times New Roman"/>
          <w:iCs/>
        </w:rPr>
        <w:t>32</w:t>
      </w:r>
      <w:r w:rsidRPr="00F40195">
        <w:rPr>
          <w:rFonts w:cs="Times New Roman"/>
        </w:rPr>
        <w:t>(4), 26-32.</w:t>
      </w:r>
    </w:p>
    <w:p w:rsidR="00513C41" w:rsidRPr="00F40195" w:rsidRDefault="00513C41" w:rsidP="00841252">
      <w:pPr>
        <w:spacing w:line="240" w:lineRule="auto"/>
        <w:ind w:left="720" w:hanging="720"/>
        <w:rPr>
          <w:rFonts w:cs="Times New Roman"/>
        </w:rPr>
      </w:pPr>
      <w:r w:rsidRPr="00F40195">
        <w:rPr>
          <w:rFonts w:cs="Times New Roman"/>
        </w:rPr>
        <w:t xml:space="preserve">Odden, Allan. (2012). </w:t>
      </w:r>
      <w:r w:rsidRPr="00F40195">
        <w:rPr>
          <w:rFonts w:cs="Times New Roman"/>
          <w:i/>
        </w:rPr>
        <w:t>Improving student learning when budgets are tight</w:t>
      </w:r>
      <w:r w:rsidRPr="00F40195">
        <w:rPr>
          <w:rFonts w:cs="Times New Roman"/>
        </w:rPr>
        <w:t>. Thousand Oaks, CA: Corwin Press.</w:t>
      </w:r>
    </w:p>
    <w:p w:rsidR="00513C41" w:rsidRPr="00F40195" w:rsidRDefault="00513C41" w:rsidP="00841252">
      <w:pPr>
        <w:spacing w:line="240" w:lineRule="auto"/>
        <w:ind w:left="720" w:hanging="720"/>
        <w:rPr>
          <w:rFonts w:cs="Times New Roman"/>
        </w:rPr>
      </w:pPr>
      <w:proofErr w:type="gramStart"/>
      <w:r w:rsidRPr="00F40195">
        <w:rPr>
          <w:rFonts w:cs="Times New Roman"/>
        </w:rPr>
        <w:t>Office of Research and Education Accountability</w:t>
      </w:r>
      <w:r w:rsidR="009739FE" w:rsidRPr="00F40195">
        <w:rPr>
          <w:rFonts w:cs="Times New Roman"/>
        </w:rPr>
        <w:t>.</w:t>
      </w:r>
      <w:proofErr w:type="gramEnd"/>
      <w:r w:rsidR="009739FE" w:rsidRPr="00F40195">
        <w:rPr>
          <w:rFonts w:cs="Times New Roman"/>
        </w:rPr>
        <w:t xml:space="preserve"> </w:t>
      </w:r>
      <w:r w:rsidRPr="00F40195">
        <w:rPr>
          <w:rFonts w:cs="Times New Roman"/>
        </w:rPr>
        <w:t>(2013)</w:t>
      </w:r>
      <w:r w:rsidR="009739FE" w:rsidRPr="00F40195">
        <w:rPr>
          <w:rFonts w:cs="Times New Roman"/>
        </w:rPr>
        <w:t xml:space="preserve">. </w:t>
      </w:r>
      <w:r w:rsidRPr="00F40195">
        <w:rPr>
          <w:rFonts w:cs="Times New Roman"/>
          <w:i/>
        </w:rPr>
        <w:t>Trends in Teacher Compensation: Focus on Alternative Salary Schedules</w:t>
      </w:r>
      <w:r w:rsidR="009739FE" w:rsidRPr="00F40195">
        <w:rPr>
          <w:rFonts w:cs="Times New Roman"/>
          <w:i/>
        </w:rPr>
        <w:t xml:space="preserve">. </w:t>
      </w:r>
      <w:r w:rsidRPr="00F40195">
        <w:rPr>
          <w:rFonts w:cs="Times New Roman"/>
        </w:rPr>
        <w:t xml:space="preserve">Nashville: Tennessee Controller of the Treasury. </w:t>
      </w:r>
    </w:p>
    <w:p w:rsidR="00513C41" w:rsidRPr="00F40195" w:rsidRDefault="00513C41" w:rsidP="00841252">
      <w:pPr>
        <w:spacing w:line="240" w:lineRule="auto"/>
        <w:ind w:left="720" w:hanging="720"/>
        <w:rPr>
          <w:rFonts w:cs="Times New Roman"/>
        </w:rPr>
      </w:pPr>
      <w:r w:rsidRPr="00F40195">
        <w:rPr>
          <w:rFonts w:cs="Times New Roman"/>
          <w:spacing w:val="-5"/>
        </w:rPr>
        <w:t xml:space="preserve">Ornstein, Allen C. (1990). How big should schools and districts be? </w:t>
      </w:r>
      <w:r w:rsidRPr="00F40195">
        <w:rPr>
          <w:rFonts w:cs="Times New Roman"/>
          <w:i/>
          <w:spacing w:val="-5"/>
        </w:rPr>
        <w:t>Education Digest, 56</w:t>
      </w:r>
      <w:r w:rsidRPr="00F40195">
        <w:rPr>
          <w:rFonts w:cs="Times New Roman"/>
          <w:spacing w:val="-5"/>
        </w:rPr>
        <w:t>(2), 44–48.</w:t>
      </w:r>
    </w:p>
    <w:p w:rsidR="00513C41" w:rsidRPr="00F40195" w:rsidRDefault="00513C41" w:rsidP="00841252">
      <w:pPr>
        <w:autoSpaceDE w:val="0"/>
        <w:autoSpaceDN w:val="0"/>
        <w:adjustRightInd w:val="0"/>
        <w:spacing w:line="240" w:lineRule="auto"/>
        <w:ind w:left="720" w:hanging="720"/>
        <w:rPr>
          <w:rFonts w:cs="Times New Roman"/>
        </w:rPr>
      </w:pPr>
      <w:r w:rsidRPr="00F40195">
        <w:rPr>
          <w:rFonts w:cs="Times New Roman"/>
        </w:rPr>
        <w:t xml:space="preserve">Orthner, D. K., Jones-Sanpei, H., Akos, P., &amp; Rose, R. A. (2013). </w:t>
      </w:r>
      <w:proofErr w:type="gramStart"/>
      <w:r w:rsidRPr="00F40195">
        <w:rPr>
          <w:rFonts w:cs="Times New Roman"/>
        </w:rPr>
        <w:t>Improving middle school student engagement through career-relevant instruction in the core curriculum.</w:t>
      </w:r>
      <w:proofErr w:type="gramEnd"/>
      <w:r w:rsidRPr="00F40195">
        <w:rPr>
          <w:rFonts w:cs="Times New Roman"/>
        </w:rPr>
        <w:t xml:space="preserve"> The Journal of Educational Research, 23-30.</w:t>
      </w:r>
    </w:p>
    <w:p w:rsidR="00F063C6" w:rsidRPr="00F40195" w:rsidRDefault="00F063C6" w:rsidP="00841252">
      <w:pPr>
        <w:spacing w:line="240" w:lineRule="auto"/>
        <w:ind w:left="720" w:hanging="720"/>
        <w:rPr>
          <w:rFonts w:cs="Times New Roman"/>
        </w:rPr>
      </w:pPr>
      <w:proofErr w:type="gramStart"/>
      <w:r w:rsidRPr="00F40195">
        <w:rPr>
          <w:rFonts w:cs="Times New Roman"/>
        </w:rPr>
        <w:lastRenderedPageBreak/>
        <w:t>Patall, E. A., Cooper, H., &amp; Allen, A. B. (2010).</w:t>
      </w:r>
      <w:proofErr w:type="gramEnd"/>
      <w:r w:rsidRPr="00F40195">
        <w:rPr>
          <w:rFonts w:cs="Times New Roman"/>
        </w:rPr>
        <w:t xml:space="preserve"> </w:t>
      </w:r>
      <w:proofErr w:type="gramStart"/>
      <w:r w:rsidRPr="00F40195">
        <w:rPr>
          <w:rFonts w:cs="Times New Roman"/>
        </w:rPr>
        <w:t>Extending the school day or school year: A systematic review of research (1985-2009).</w:t>
      </w:r>
      <w:proofErr w:type="gramEnd"/>
      <w:r w:rsidRPr="00F40195">
        <w:rPr>
          <w:rFonts w:cs="Times New Roman"/>
        </w:rPr>
        <w:t xml:space="preserve"> </w:t>
      </w:r>
      <w:r w:rsidRPr="00F40195">
        <w:rPr>
          <w:rFonts w:cs="Times New Roman"/>
          <w:i/>
        </w:rPr>
        <w:t>Review of Educational Research</w:t>
      </w:r>
      <w:r w:rsidRPr="00F40195">
        <w:rPr>
          <w:rFonts w:cs="Times New Roman"/>
        </w:rPr>
        <w:t xml:space="preserve"> 80(3), pp. 401-436.</w:t>
      </w:r>
    </w:p>
    <w:p w:rsidR="00513C41" w:rsidRPr="00F40195" w:rsidRDefault="00513C41" w:rsidP="00841252">
      <w:pPr>
        <w:spacing w:line="240" w:lineRule="auto"/>
        <w:ind w:left="720" w:hanging="720"/>
        <w:rPr>
          <w:rFonts w:cs="Times New Roman"/>
        </w:rPr>
      </w:pPr>
      <w:r w:rsidRPr="00F40195">
        <w:rPr>
          <w:rFonts w:cs="Times New Roman"/>
        </w:rPr>
        <w:t xml:space="preserve">Phelps, L. Allen. (2006). </w:t>
      </w:r>
      <w:r w:rsidRPr="00F40195">
        <w:rPr>
          <w:rFonts w:cs="Times New Roman"/>
          <w:i/>
        </w:rPr>
        <w:t>Career and technical education in Wisconsin’s new economy: Challenges and investment imperatives</w:t>
      </w:r>
      <w:r w:rsidRPr="00F40195">
        <w:rPr>
          <w:rFonts w:cs="Times New Roman"/>
        </w:rPr>
        <w:t>. Madison: University of Wisconsin, Wisconsin Center for Education Research, Consortium for Policy Research in Education</w:t>
      </w:r>
      <w:r w:rsidRPr="00F40195">
        <w:rPr>
          <w:rFonts w:cs="Times New Roman"/>
          <w:b/>
        </w:rPr>
        <w:t>.</w:t>
      </w:r>
    </w:p>
    <w:p w:rsidR="00513C41" w:rsidRPr="00F40195" w:rsidRDefault="00513C41" w:rsidP="00841252">
      <w:pPr>
        <w:spacing w:line="240" w:lineRule="auto"/>
        <w:ind w:left="720" w:hanging="720"/>
        <w:rPr>
          <w:rFonts w:cs="Times New Roman"/>
        </w:rPr>
      </w:pPr>
      <w:r w:rsidRPr="00F40195">
        <w:rPr>
          <w:rFonts w:cs="Times New Roman"/>
        </w:rPr>
        <w:t>Pianta, Robert, Allen, Joseph</w:t>
      </w:r>
      <w:proofErr w:type="gramStart"/>
      <w:r w:rsidRPr="00F40195">
        <w:rPr>
          <w:rFonts w:cs="Times New Roman"/>
        </w:rPr>
        <w:t>,  &amp;</w:t>
      </w:r>
      <w:proofErr w:type="gramEnd"/>
      <w:r w:rsidRPr="00F40195">
        <w:rPr>
          <w:rFonts w:cs="Times New Roman"/>
        </w:rPr>
        <w:t xml:space="preserve"> King, High. (2011). </w:t>
      </w:r>
      <w:proofErr w:type="gramStart"/>
      <w:r w:rsidRPr="00F40195">
        <w:rPr>
          <w:rFonts w:cs="Times New Roman"/>
        </w:rPr>
        <w:t>An</w:t>
      </w:r>
      <w:proofErr w:type="gramEnd"/>
      <w:r w:rsidRPr="00F40195">
        <w:rPr>
          <w:rFonts w:cs="Times New Roman"/>
        </w:rPr>
        <w:t xml:space="preserve"> interaction-based approach to enhancing secondary school instruction and student achievement, </w:t>
      </w:r>
      <w:r w:rsidRPr="00F40195">
        <w:rPr>
          <w:rFonts w:cs="Times New Roman"/>
          <w:i/>
        </w:rPr>
        <w:t>Science</w:t>
      </w:r>
      <w:r w:rsidRPr="00F40195">
        <w:rPr>
          <w:rFonts w:cs="Times New Roman"/>
        </w:rPr>
        <w:t xml:space="preserve">, </w:t>
      </w:r>
      <w:r w:rsidRPr="00F40195">
        <w:rPr>
          <w:rFonts w:cs="Times New Roman"/>
          <w:color w:val="000000"/>
        </w:rPr>
        <w:t>333 (6045), 1034-1037</w:t>
      </w:r>
      <w:r w:rsidRPr="00F40195">
        <w:rPr>
          <w:rFonts w:cs="Times New Roman"/>
        </w:rPr>
        <w:t>.</w:t>
      </w:r>
    </w:p>
    <w:p w:rsidR="00513C41" w:rsidRPr="00F40195" w:rsidRDefault="00513C41" w:rsidP="00841252">
      <w:pPr>
        <w:spacing w:line="240" w:lineRule="auto"/>
        <w:ind w:left="720" w:hanging="720"/>
        <w:rPr>
          <w:rFonts w:cs="Times New Roman"/>
        </w:rPr>
      </w:pPr>
      <w:r w:rsidRPr="00F40195">
        <w:rPr>
          <w:rFonts w:cs="Times New Roman"/>
        </w:rPr>
        <w:t xml:space="preserve">Picus, </w:t>
      </w:r>
      <w:proofErr w:type="gramStart"/>
      <w:r w:rsidRPr="00F40195">
        <w:rPr>
          <w:rFonts w:cs="Times New Roman"/>
        </w:rPr>
        <w:t>Lawrence  O</w:t>
      </w:r>
      <w:proofErr w:type="gramEnd"/>
      <w:r w:rsidRPr="00F40195">
        <w:rPr>
          <w:rFonts w:cs="Times New Roman"/>
        </w:rPr>
        <w:t xml:space="preserve">., Odden, Allan, Goetz, Michael, &amp; Aportela, Anabel. (2012). </w:t>
      </w:r>
      <w:r w:rsidRPr="00F40195">
        <w:rPr>
          <w:rFonts w:cs="Times New Roman"/>
          <w:i/>
        </w:rPr>
        <w:t xml:space="preserve">Estimating the cost of an adequate education for Texas school districts using the evidence-based approach. </w:t>
      </w:r>
      <w:proofErr w:type="gramStart"/>
      <w:r w:rsidRPr="00F40195">
        <w:rPr>
          <w:rFonts w:cs="Times New Roman"/>
        </w:rPr>
        <w:t>North Hollywood, CA. SED Lawrence O. Picus and Associates.</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Picus, Lawrence O. &amp; Odden, Allan. (2010). </w:t>
      </w:r>
      <w:r w:rsidRPr="00F40195">
        <w:rPr>
          <w:rFonts w:cs="Times New Roman"/>
          <w:i/>
        </w:rPr>
        <w:t>2010 Cost of Education Study: Submitted to the Select School Finance Committee of the Wyoming State Legislature</w:t>
      </w:r>
      <w:r w:rsidRPr="00F40195">
        <w:rPr>
          <w:rFonts w:cs="Times New Roman"/>
        </w:rPr>
        <w:t xml:space="preserve">. </w:t>
      </w:r>
      <w:r w:rsidRPr="00F40195">
        <w:rPr>
          <w:rFonts w:cs="Times New Roman"/>
          <w:bCs/>
        </w:rPr>
        <w:t xml:space="preserve">Los Angeles, CA: Lawrence O. Picus and Associates. </w:t>
      </w:r>
      <w:r w:rsidRPr="00F40195">
        <w:rPr>
          <w:rFonts w:cs="Times New Roman"/>
        </w:rPr>
        <w:t xml:space="preserve">Available at: </w:t>
      </w:r>
      <w:hyperlink r:id="rId51" w:history="1">
        <w:r w:rsidRPr="00F40195">
          <w:rPr>
            <w:rStyle w:val="Hyperlink"/>
            <w:rFonts w:cs="Times New Roman"/>
          </w:rPr>
          <w:t>http://www.lpicus.com</w:t>
        </w:r>
      </w:hyperlink>
      <w:r w:rsidRPr="00F40195">
        <w:rPr>
          <w:rFonts w:cs="Times New Roman"/>
        </w:rPr>
        <w:t xml:space="preserve">  </w:t>
      </w:r>
    </w:p>
    <w:p w:rsidR="00BA288C" w:rsidRDefault="00BA288C" w:rsidP="00841252">
      <w:pPr>
        <w:spacing w:line="240" w:lineRule="auto"/>
        <w:ind w:left="720" w:hanging="720"/>
        <w:rPr>
          <w:rFonts w:cs="Times New Roman"/>
        </w:rPr>
      </w:pPr>
      <w:r>
        <w:rPr>
          <w:rFonts w:cs="Times New Roman"/>
        </w:rPr>
        <w:t xml:space="preserve">Picus, L.., Odden, A., &amp; Fermanich, M. (2004). Assessing the equity of Kentucky’s SEEK formula:  A 10-year analysis. </w:t>
      </w:r>
      <w:r>
        <w:rPr>
          <w:rFonts w:cs="Times New Roman"/>
          <w:i/>
        </w:rPr>
        <w:t xml:space="preserve">Journal of Education Finance </w:t>
      </w:r>
      <w:r>
        <w:rPr>
          <w:rFonts w:cs="Times New Roman"/>
        </w:rPr>
        <w:t>Vol. 29, No 4 (Spring 2004), pp. 315-335</w:t>
      </w:r>
    </w:p>
    <w:p w:rsidR="00513C41" w:rsidRPr="00F40195" w:rsidRDefault="00513C41" w:rsidP="00841252">
      <w:pPr>
        <w:spacing w:line="240" w:lineRule="auto"/>
        <w:ind w:left="720" w:hanging="720"/>
        <w:rPr>
          <w:rFonts w:cs="Times New Roman"/>
        </w:rPr>
      </w:pPr>
      <w:r w:rsidRPr="00F40195">
        <w:rPr>
          <w:rFonts w:cs="Times New Roman"/>
        </w:rPr>
        <w:t xml:space="preserve">Picus, Lawrence O., &amp; Seder, Richard. </w:t>
      </w:r>
      <w:proofErr w:type="gramStart"/>
      <w:r w:rsidRPr="00F40195">
        <w:rPr>
          <w:rFonts w:cs="Times New Roman"/>
        </w:rPr>
        <w:t>(2010). Recalibration of maintenance and operation costs</w:t>
      </w:r>
      <w:r w:rsidR="009739FE" w:rsidRPr="00F40195">
        <w:rPr>
          <w:rFonts w:cs="Times New Roman"/>
        </w:rPr>
        <w:t>.</w:t>
      </w:r>
      <w:proofErr w:type="gramEnd"/>
      <w:r w:rsidR="009739FE" w:rsidRPr="00F40195">
        <w:rPr>
          <w:rFonts w:cs="Times New Roman"/>
        </w:rPr>
        <w:t xml:space="preserve"> </w:t>
      </w:r>
      <w:r w:rsidRPr="00F40195">
        <w:rPr>
          <w:rFonts w:cs="Times New Roman"/>
        </w:rPr>
        <w:t xml:space="preserve">In Lawrence O. Picus &amp; Allan Odden. </w:t>
      </w:r>
      <w:r w:rsidRPr="00F40195">
        <w:rPr>
          <w:rFonts w:cs="Times New Roman"/>
          <w:i/>
        </w:rPr>
        <w:t>2010 Cost of Education Study: Submitted to the Select School Finance Committee of the Wyoming State Legislature</w:t>
      </w:r>
      <w:r w:rsidR="009739FE" w:rsidRPr="00F40195">
        <w:rPr>
          <w:rFonts w:cs="Times New Roman"/>
        </w:rPr>
        <w:t xml:space="preserve">. </w:t>
      </w:r>
      <w:r w:rsidRPr="00F40195">
        <w:rPr>
          <w:rFonts w:cs="Times New Roman"/>
          <w:bCs/>
        </w:rPr>
        <w:t xml:space="preserve">Los Angeles, CA: Lawrence O. Picus and Associates. </w:t>
      </w:r>
      <w:r w:rsidRPr="00F40195">
        <w:rPr>
          <w:rFonts w:cs="Times New Roman"/>
        </w:rPr>
        <w:t xml:space="preserve">Available at: </w:t>
      </w:r>
      <w:hyperlink r:id="rId52" w:history="1">
        <w:r w:rsidRPr="00F40195">
          <w:rPr>
            <w:rStyle w:val="Hyperlink"/>
            <w:rFonts w:cs="Times New Roman"/>
          </w:rPr>
          <w:t>http://www.lpicus.com</w:t>
        </w:r>
      </w:hyperlink>
      <w:r w:rsidRPr="00F40195">
        <w:rPr>
          <w:rFonts w:cs="Times New Roman"/>
        </w:rPr>
        <w:t xml:space="preserve">  </w:t>
      </w:r>
    </w:p>
    <w:p w:rsidR="00513C41" w:rsidRPr="00F40195" w:rsidRDefault="00513C41" w:rsidP="00841252">
      <w:pPr>
        <w:spacing w:line="240" w:lineRule="auto"/>
        <w:ind w:left="720" w:hanging="720"/>
        <w:rPr>
          <w:rFonts w:cs="Times New Roman"/>
        </w:rPr>
      </w:pPr>
      <w:proofErr w:type="gramStart"/>
      <w:r w:rsidRPr="00F40195">
        <w:rPr>
          <w:rFonts w:cs="Times New Roman"/>
        </w:rPr>
        <w:t>Posner, Jill, &amp; Vandell, Deborah L. (1994).</w:t>
      </w:r>
      <w:proofErr w:type="gramEnd"/>
      <w:r w:rsidRPr="00F40195">
        <w:rPr>
          <w:rFonts w:cs="Times New Roman"/>
        </w:rPr>
        <w:t xml:space="preserve"> Low-income children’s after-school care: Are there beneficial effects of after-school programs? </w:t>
      </w:r>
      <w:r w:rsidRPr="00F40195">
        <w:rPr>
          <w:rFonts w:cs="Times New Roman"/>
          <w:i/>
        </w:rPr>
        <w:t>Child Development</w:t>
      </w:r>
      <w:r w:rsidRPr="00F40195">
        <w:rPr>
          <w:rFonts w:cs="Times New Roman"/>
          <w:i/>
          <w:iCs/>
        </w:rPr>
        <w:t>, 65,</w:t>
      </w:r>
      <w:r w:rsidRPr="00F40195">
        <w:rPr>
          <w:rFonts w:cs="Times New Roman"/>
        </w:rPr>
        <w:t xml:space="preserve"> 440-456.</w:t>
      </w:r>
    </w:p>
    <w:p w:rsidR="00513C41" w:rsidRPr="00F40195" w:rsidRDefault="00513C41" w:rsidP="00841252">
      <w:pPr>
        <w:spacing w:line="240" w:lineRule="auto"/>
        <w:ind w:left="720" w:hanging="720"/>
        <w:rPr>
          <w:rFonts w:cs="Times New Roman"/>
        </w:rPr>
      </w:pPr>
      <w:r w:rsidRPr="00F40195">
        <w:rPr>
          <w:rFonts w:cs="Times New Roman"/>
        </w:rPr>
        <w:t>Prince, Cynthia D., Julia Koppich, Tamara Morse Azar, Monia Bhatt &amp; Peter J. Witham</w:t>
      </w:r>
      <w:r w:rsidR="009739FE" w:rsidRPr="00F40195">
        <w:rPr>
          <w:rFonts w:cs="Times New Roman"/>
        </w:rPr>
        <w:t xml:space="preserve">. </w:t>
      </w:r>
      <w:proofErr w:type="gramStart"/>
      <w:r w:rsidRPr="00F40195">
        <w:rPr>
          <w:rFonts w:cs="Times New Roman"/>
        </w:rPr>
        <w:t>(2008)</w:t>
      </w:r>
      <w:r w:rsidR="009739FE" w:rsidRPr="00F40195">
        <w:rPr>
          <w:rFonts w:cs="Times New Roman"/>
        </w:rPr>
        <w:t xml:space="preserve">. </w:t>
      </w:r>
      <w:r w:rsidRPr="00F40195">
        <w:rPr>
          <w:rFonts w:cs="Times New Roman"/>
        </w:rPr>
        <w:t>Compensation for Teachers of Hard-to-Fill Subjects and Teachers in Hard-to-Staff Schools</w:t>
      </w:r>
      <w:r w:rsidR="009739FE" w:rsidRPr="00F40195">
        <w:rPr>
          <w:rFonts w:cs="Times New Roman"/>
        </w:rPr>
        <w:t>.</w:t>
      </w:r>
      <w:proofErr w:type="gramEnd"/>
      <w:r w:rsidR="009739FE" w:rsidRPr="00F40195">
        <w:rPr>
          <w:rFonts w:cs="Times New Roman"/>
        </w:rPr>
        <w:t xml:space="preserve"> </w:t>
      </w:r>
      <w:r w:rsidRPr="00F40195">
        <w:rPr>
          <w:rFonts w:cs="Times New Roman"/>
        </w:rPr>
        <w:t>Nashville: Vanderbilt University, Center for Educator Compensation Reform.</w:t>
      </w:r>
    </w:p>
    <w:p w:rsidR="00513C41" w:rsidRPr="00F40195" w:rsidRDefault="00513C41" w:rsidP="00841252">
      <w:pPr>
        <w:spacing w:line="240" w:lineRule="auto"/>
        <w:ind w:left="720" w:hanging="720"/>
        <w:rPr>
          <w:rFonts w:cs="Times New Roman"/>
        </w:rPr>
      </w:pPr>
      <w:r w:rsidRPr="00F40195">
        <w:rPr>
          <w:rFonts w:cs="Times New Roman"/>
        </w:rPr>
        <w:t xml:space="preserve">Boulder, CO: University of Colorado, School of Education and Human Development, </w:t>
      </w:r>
      <w:proofErr w:type="gramStart"/>
      <w:r w:rsidRPr="00F40195">
        <w:rPr>
          <w:rFonts w:cs="Times New Roman"/>
        </w:rPr>
        <w:t>The</w:t>
      </w:r>
      <w:proofErr w:type="gramEnd"/>
      <w:r w:rsidRPr="00F40195">
        <w:rPr>
          <w:rFonts w:cs="Times New Roman"/>
        </w:rPr>
        <w:t xml:space="preserve"> Evaluation Center.</w:t>
      </w:r>
    </w:p>
    <w:p w:rsidR="00513C41" w:rsidRPr="00F40195" w:rsidRDefault="00513C41" w:rsidP="00841252">
      <w:pPr>
        <w:spacing w:line="240" w:lineRule="auto"/>
        <w:ind w:left="720" w:hanging="720"/>
        <w:rPr>
          <w:rFonts w:cs="Times New Roman"/>
        </w:rPr>
      </w:pPr>
      <w:r w:rsidRPr="00F40195">
        <w:rPr>
          <w:rFonts w:cs="Times New Roman"/>
        </w:rPr>
        <w:t xml:space="preserve">Raudenbusch, Steve. (2009). </w:t>
      </w:r>
      <w:r w:rsidRPr="00F40195">
        <w:rPr>
          <w:rFonts w:cs="Times New Roman"/>
          <w:bCs/>
        </w:rPr>
        <w:t xml:space="preserve">The </w:t>
      </w:r>
      <w:r w:rsidRPr="00F40195">
        <w:rPr>
          <w:rFonts w:cs="Times New Roman"/>
          <w:bCs/>
          <w:iCs/>
        </w:rPr>
        <w:t xml:space="preserve">Brown </w:t>
      </w:r>
      <w:r w:rsidRPr="00F40195">
        <w:rPr>
          <w:rFonts w:cs="Times New Roman"/>
          <w:bCs/>
        </w:rPr>
        <w:t>Legacy and the O’Connor Challenge: Transforming schools in the images of children’s potential</w:t>
      </w:r>
      <w:r w:rsidRPr="00F40195">
        <w:rPr>
          <w:rFonts w:cs="Times New Roman"/>
          <w:bCs/>
          <w:i/>
        </w:rPr>
        <w:t>. Educational Researcher</w:t>
      </w:r>
      <w:proofErr w:type="gramStart"/>
      <w:r w:rsidRPr="00F40195">
        <w:rPr>
          <w:rFonts w:cs="Times New Roman"/>
          <w:bCs/>
          <w:i/>
        </w:rPr>
        <w:t>,38</w:t>
      </w:r>
      <w:proofErr w:type="gramEnd"/>
      <w:r w:rsidRPr="00F40195">
        <w:rPr>
          <w:rFonts w:cs="Times New Roman"/>
          <w:bCs/>
        </w:rPr>
        <w:t>(3), 169</w:t>
      </w:r>
      <w:r w:rsidRPr="00F40195">
        <w:rPr>
          <w:rFonts w:cs="Times New Roman"/>
          <w:b/>
          <w:bCs/>
          <w:i/>
        </w:rPr>
        <w:t>–</w:t>
      </w:r>
      <w:r w:rsidRPr="00F40195">
        <w:rPr>
          <w:rFonts w:cs="Times New Roman"/>
          <w:bCs/>
        </w:rPr>
        <w:t xml:space="preserve">180. </w:t>
      </w:r>
    </w:p>
    <w:p w:rsidR="00513C41" w:rsidRPr="00F40195" w:rsidRDefault="00513C41" w:rsidP="00841252">
      <w:pPr>
        <w:spacing w:line="240" w:lineRule="auto"/>
        <w:ind w:left="720" w:hanging="720"/>
        <w:rPr>
          <w:rFonts w:cs="Times New Roman"/>
        </w:rPr>
      </w:pPr>
      <w:r w:rsidRPr="00F40195">
        <w:rPr>
          <w:rFonts w:cs="Times New Roman"/>
        </w:rPr>
        <w:t xml:space="preserve">Ravitch, Diane. (2004). </w:t>
      </w:r>
      <w:proofErr w:type="gramStart"/>
      <w:r w:rsidRPr="00F40195">
        <w:rPr>
          <w:rFonts w:cs="Times New Roman"/>
          <w:i/>
        </w:rPr>
        <w:t>The</w:t>
      </w:r>
      <w:proofErr w:type="gramEnd"/>
      <w:r w:rsidRPr="00F40195">
        <w:rPr>
          <w:rFonts w:cs="Times New Roman"/>
          <w:i/>
        </w:rPr>
        <w:t xml:space="preserve"> mad, mad world of textbook adoption</w:t>
      </w:r>
      <w:r w:rsidRPr="00F40195">
        <w:rPr>
          <w:rFonts w:cs="Times New Roman"/>
        </w:rPr>
        <w:t xml:space="preserve">. Fordham Institute. Maryland: District Creative Printing. </w:t>
      </w:r>
      <w:proofErr w:type="gramStart"/>
      <w:r w:rsidRPr="00F40195">
        <w:rPr>
          <w:rFonts w:cs="Times New Roman"/>
        </w:rPr>
        <w:t xml:space="preserve">Also available at </w:t>
      </w:r>
      <w:hyperlink r:id="rId53" w:history="1">
        <w:r w:rsidRPr="00F40195">
          <w:rPr>
            <w:rStyle w:val="Hyperlink"/>
            <w:rFonts w:cs="Times New Roman"/>
          </w:rPr>
          <w:t>www.edexcellence.net</w:t>
        </w:r>
      </w:hyperlink>
      <w:r w:rsidRPr="00F40195">
        <w:rPr>
          <w:rFonts w:cs="Times New Roman"/>
        </w:rPr>
        <w:t>.</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Raywid, Mary A. (1997/1998). Synthesis of research: Small schools: A reform that works. </w:t>
      </w:r>
      <w:r w:rsidRPr="00F40195">
        <w:rPr>
          <w:rFonts w:cs="Times New Roman"/>
          <w:i/>
        </w:rPr>
        <w:t>Educational Leadership, 55</w:t>
      </w:r>
      <w:r w:rsidRPr="00F40195">
        <w:rPr>
          <w:rFonts w:cs="Times New Roman"/>
        </w:rPr>
        <w:t>(4), 34-39.</w:t>
      </w:r>
    </w:p>
    <w:p w:rsidR="00513C41" w:rsidRPr="00F40195" w:rsidRDefault="00513C41" w:rsidP="00841252">
      <w:pPr>
        <w:spacing w:line="240" w:lineRule="auto"/>
        <w:ind w:left="720" w:hanging="720"/>
        <w:rPr>
          <w:rFonts w:cs="Times New Roman"/>
        </w:rPr>
      </w:pPr>
      <w:proofErr w:type="gramStart"/>
      <w:r w:rsidRPr="00F40195">
        <w:rPr>
          <w:rFonts w:cs="Times New Roman"/>
        </w:rPr>
        <w:t>Reis, Sally, M., &amp; Purcell, Jeanne H. (1993).</w:t>
      </w:r>
      <w:proofErr w:type="gramEnd"/>
      <w:r w:rsidRPr="00F40195">
        <w:rPr>
          <w:rFonts w:cs="Times New Roman"/>
        </w:rPr>
        <w:t xml:space="preserve"> </w:t>
      </w:r>
      <w:proofErr w:type="gramStart"/>
      <w:r w:rsidRPr="00F40195">
        <w:rPr>
          <w:rFonts w:cs="Times New Roman"/>
        </w:rPr>
        <w:t>An analysis of content elimination and strategies used by elementary classroom teachers in the curriculum compacting process.</w:t>
      </w:r>
      <w:proofErr w:type="gramEnd"/>
      <w:r w:rsidRPr="00F40195">
        <w:rPr>
          <w:rFonts w:cs="Times New Roman"/>
        </w:rPr>
        <w:t xml:space="preserve"> </w:t>
      </w:r>
      <w:r w:rsidRPr="00F40195">
        <w:rPr>
          <w:rFonts w:cs="Times New Roman"/>
          <w:i/>
          <w:iCs/>
        </w:rPr>
        <w:t>Journal for the Education of the Gifted</w:t>
      </w:r>
      <w:r w:rsidRPr="00F40195">
        <w:rPr>
          <w:rFonts w:cs="Times New Roman"/>
        </w:rPr>
        <w:t xml:space="preserve">, </w:t>
      </w:r>
      <w:r w:rsidRPr="00F40195">
        <w:rPr>
          <w:rFonts w:cs="Times New Roman"/>
          <w:i/>
        </w:rPr>
        <w:t>16</w:t>
      </w:r>
      <w:r w:rsidRPr="00F40195">
        <w:rPr>
          <w:rFonts w:cs="Times New Roman"/>
        </w:rPr>
        <w:t>(2), 147-170.</w:t>
      </w:r>
    </w:p>
    <w:p w:rsidR="00513C41" w:rsidRPr="00F40195" w:rsidRDefault="00513C41" w:rsidP="00841252">
      <w:pPr>
        <w:spacing w:line="240" w:lineRule="auto"/>
        <w:ind w:left="720" w:hanging="720"/>
        <w:rPr>
          <w:rFonts w:cs="Times New Roman"/>
        </w:rPr>
      </w:pPr>
      <w:r w:rsidRPr="00F40195">
        <w:rPr>
          <w:rFonts w:cs="Times New Roman"/>
        </w:rPr>
        <w:t xml:space="preserve">Reynolds, Arthur J., Temple, Judy A., Ou, Suh-Ruu, Arteaga, Irma A., &amp; White, Barry A.B. (2011). School-based early childhood education and age-28 well-being: Effects by timing, dosage and subgroups. </w:t>
      </w:r>
      <w:proofErr w:type="gramStart"/>
      <w:r w:rsidRPr="00F40195">
        <w:rPr>
          <w:rFonts w:cs="Times New Roman"/>
          <w:i/>
        </w:rPr>
        <w:t>Sciencexpress.</w:t>
      </w:r>
      <w:proofErr w:type="gramEnd"/>
      <w:r w:rsidRPr="00F40195">
        <w:rPr>
          <w:rFonts w:cs="Times New Roman"/>
        </w:rPr>
        <w:t xml:space="preserve"> </w:t>
      </w:r>
      <w:proofErr w:type="gramStart"/>
      <w:r w:rsidRPr="00F40195">
        <w:rPr>
          <w:rFonts w:cs="Times New Roman"/>
        </w:rPr>
        <w:t xml:space="preserve">Downloaded July 7, 2011 from </w:t>
      </w:r>
      <w:hyperlink r:id="rId54" w:history="1">
        <w:r w:rsidRPr="00F40195">
          <w:rPr>
            <w:rStyle w:val="Hyperlink"/>
            <w:rFonts w:cs="Times New Roman"/>
          </w:rPr>
          <w:t>www.sciencemag.org</w:t>
        </w:r>
      </w:hyperlink>
      <w:r w:rsidRPr="00F40195">
        <w:rPr>
          <w:rFonts w:cs="Times New Roman"/>
        </w:rPr>
        <w:t>.</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proofErr w:type="gramStart"/>
      <w:r w:rsidRPr="00F40195">
        <w:rPr>
          <w:rFonts w:cs="Times New Roman"/>
        </w:rPr>
        <w:t>Reynolds, Arthur J., Temple, Judy A., Robertson, Dylan L., &amp; Mann, Emily A. (2001).</w:t>
      </w:r>
      <w:proofErr w:type="gramEnd"/>
      <w:r w:rsidRPr="00F40195">
        <w:rPr>
          <w:rFonts w:cs="Times New Roman"/>
        </w:rPr>
        <w:t xml:space="preserve"> Long-term effects of an early childhood intervention on educational achievement and juvenile </w:t>
      </w:r>
      <w:r w:rsidRPr="00F40195">
        <w:rPr>
          <w:rFonts w:cs="Times New Roman"/>
        </w:rPr>
        <w:lastRenderedPageBreak/>
        <w:t xml:space="preserve">arrest: A 15-year follow-up of low-income children in public schools. </w:t>
      </w:r>
      <w:r w:rsidRPr="00F40195">
        <w:rPr>
          <w:rFonts w:cs="Times New Roman"/>
          <w:i/>
          <w:iCs/>
        </w:rPr>
        <w:t>JAMA</w:t>
      </w:r>
      <w:r w:rsidRPr="00F40195">
        <w:rPr>
          <w:rFonts w:cs="Times New Roman"/>
        </w:rPr>
        <w:t>, 285, (18), 2339-46.</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Rinne, L., Gregory, E., Yarmolinskaya, J., &amp; Hardiman, M. (2011).</w:t>
      </w:r>
      <w:proofErr w:type="gramEnd"/>
      <w:r w:rsidRPr="00F40195">
        <w:rPr>
          <w:rFonts w:cs="Times New Roman"/>
        </w:rPr>
        <w:t xml:space="preserve"> Why arts integration improves retention of content. Mind, Brain and Education, 89-96.</w:t>
      </w:r>
    </w:p>
    <w:p w:rsidR="00513C41" w:rsidRPr="00F40195" w:rsidRDefault="00513C41" w:rsidP="00841252">
      <w:pPr>
        <w:spacing w:line="240" w:lineRule="auto"/>
        <w:ind w:left="720" w:hanging="720"/>
        <w:rPr>
          <w:rFonts w:cs="Times New Roman"/>
        </w:rPr>
      </w:pPr>
      <w:r w:rsidRPr="00F40195">
        <w:rPr>
          <w:rFonts w:cs="Times New Roman"/>
        </w:rPr>
        <w:t xml:space="preserve">Roberts, Greg (2000, September). </w:t>
      </w:r>
      <w:proofErr w:type="gramStart"/>
      <w:r w:rsidRPr="00F40195">
        <w:rPr>
          <w:rFonts w:cs="Times New Roman"/>
          <w:i/>
        </w:rPr>
        <w:t>Technical evaluation report on the impact of Voyager summer programs</w:t>
      </w:r>
      <w:r w:rsidRPr="00F40195">
        <w:rPr>
          <w:rFonts w:cs="Times New Roman"/>
        </w:rPr>
        <w:t>.</w:t>
      </w:r>
      <w:proofErr w:type="gramEnd"/>
      <w:r w:rsidRPr="00F40195">
        <w:rPr>
          <w:rFonts w:cs="Times New Roman"/>
        </w:rPr>
        <w:t xml:space="preserve"> Austin, TX: University of Texas.</w:t>
      </w:r>
    </w:p>
    <w:p w:rsidR="00513C41" w:rsidRPr="00F40195" w:rsidRDefault="00513C41" w:rsidP="00841252">
      <w:pPr>
        <w:spacing w:line="240" w:lineRule="auto"/>
        <w:ind w:left="720" w:hanging="720"/>
        <w:rPr>
          <w:rFonts w:cs="Times New Roman"/>
        </w:rPr>
      </w:pPr>
      <w:proofErr w:type="gramStart"/>
      <w:r w:rsidRPr="00F40195">
        <w:rPr>
          <w:rFonts w:cs="Times New Roman"/>
        </w:rPr>
        <w:t>Robinson, Ann, &amp; Clinkenbeard, Pamela R. (1998).</w:t>
      </w:r>
      <w:proofErr w:type="gramEnd"/>
      <w:r w:rsidRPr="00F40195">
        <w:rPr>
          <w:rFonts w:cs="Times New Roman"/>
        </w:rPr>
        <w:t xml:space="preserve"> Giftedness:  </w:t>
      </w:r>
      <w:proofErr w:type="gramStart"/>
      <w:r w:rsidRPr="00F40195">
        <w:rPr>
          <w:rFonts w:cs="Times New Roman"/>
        </w:rPr>
        <w:t>An exceptionality</w:t>
      </w:r>
      <w:proofErr w:type="gramEnd"/>
      <w:r w:rsidRPr="00F40195">
        <w:rPr>
          <w:rFonts w:cs="Times New Roman"/>
        </w:rPr>
        <w:t xml:space="preserve"> examined. </w:t>
      </w:r>
      <w:r w:rsidRPr="00F40195">
        <w:rPr>
          <w:rFonts w:cs="Times New Roman"/>
          <w:i/>
          <w:iCs/>
        </w:rPr>
        <w:t>Annual Review of Psychology,</w:t>
      </w:r>
      <w:r w:rsidRPr="00F40195">
        <w:rPr>
          <w:rFonts w:cs="Times New Roman"/>
          <w:i/>
        </w:rPr>
        <w:t xml:space="preserve"> 49</w:t>
      </w:r>
      <w:r w:rsidRPr="00F40195">
        <w:rPr>
          <w:rFonts w:cs="Times New Roman"/>
        </w:rPr>
        <w:t>(1), 117-139.</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Rodney, M. J., Lance, K. C., &amp; Hamilton-Pennell, C. (2003).</w:t>
      </w:r>
      <w:proofErr w:type="gramEnd"/>
      <w:r w:rsidRPr="00F40195">
        <w:rPr>
          <w:rFonts w:cs="Times New Roman"/>
        </w:rPr>
        <w:t xml:space="preserve"> The Impact of Michigan school librarians on academic achievement: Kids who have libraries succeed. Lansing, MI: Library of Michigan.</w:t>
      </w:r>
    </w:p>
    <w:p w:rsidR="00513C41" w:rsidRPr="00F40195" w:rsidRDefault="00513C41" w:rsidP="00841252">
      <w:pPr>
        <w:spacing w:line="240" w:lineRule="auto"/>
        <w:ind w:left="720" w:hanging="720"/>
        <w:rPr>
          <w:rFonts w:cs="Times New Roman"/>
        </w:rPr>
      </w:pPr>
      <w:r w:rsidRPr="00F40195">
        <w:rPr>
          <w:rFonts w:cs="Times New Roman"/>
        </w:rPr>
        <w:t>Rowan, Brian, Correnti, Richard, &amp; Miller, Robert J</w:t>
      </w:r>
      <w:proofErr w:type="gramStart"/>
      <w:r w:rsidRPr="00F40195">
        <w:rPr>
          <w:rFonts w:cs="Times New Roman"/>
        </w:rPr>
        <w:t>.(</w:t>
      </w:r>
      <w:proofErr w:type="gramEnd"/>
      <w:r w:rsidRPr="00F40195">
        <w:rPr>
          <w:rFonts w:cs="Times New Roman"/>
        </w:rPr>
        <w:t xml:space="preserve">2002). What large-scale, survey research tells us about teacher effects on student achievement:  Insights from the </w:t>
      </w:r>
      <w:r w:rsidRPr="00F40195">
        <w:rPr>
          <w:rFonts w:cs="Times New Roman"/>
          <w:iCs/>
        </w:rPr>
        <w:t>Prospects</w:t>
      </w:r>
      <w:r w:rsidRPr="00F40195">
        <w:rPr>
          <w:rFonts w:cs="Times New Roman"/>
        </w:rPr>
        <w:t xml:space="preserve"> study of elementary schools. </w:t>
      </w:r>
      <w:r w:rsidRPr="00F40195">
        <w:rPr>
          <w:rFonts w:cs="Times New Roman"/>
          <w:i/>
          <w:iCs/>
        </w:rPr>
        <w:t>Teachers College Record,</w:t>
      </w:r>
      <w:r w:rsidRPr="00F40195">
        <w:rPr>
          <w:rFonts w:cs="Times New Roman"/>
        </w:rPr>
        <w:t xml:space="preserve"> </w:t>
      </w:r>
      <w:r w:rsidRPr="00F40195">
        <w:rPr>
          <w:rFonts w:cs="Times New Roman"/>
          <w:i/>
        </w:rPr>
        <w:t>104</w:t>
      </w:r>
      <w:r w:rsidRPr="00F40195">
        <w:rPr>
          <w:rFonts w:cs="Times New Roman"/>
        </w:rPr>
        <w:t xml:space="preserve">(8), 1525-1567. </w:t>
      </w:r>
    </w:p>
    <w:p w:rsidR="00513C41" w:rsidRPr="00F40195" w:rsidRDefault="00513C41" w:rsidP="00841252">
      <w:pPr>
        <w:spacing w:line="240" w:lineRule="auto"/>
        <w:ind w:left="720" w:hanging="720"/>
        <w:rPr>
          <w:rFonts w:cs="Times New Roman"/>
        </w:rPr>
      </w:pPr>
      <w:proofErr w:type="gramStart"/>
      <w:r w:rsidRPr="00F40195">
        <w:rPr>
          <w:rFonts w:cs="Times New Roman"/>
        </w:rPr>
        <w:t>Schweinhart, Lawrence J., Montie, J., Xiang, Z., Barnett, W. Steven, Belfield, Clyde R., &amp; Nores, M. (2005).</w:t>
      </w:r>
      <w:proofErr w:type="gramEnd"/>
      <w:r w:rsidRPr="00F40195">
        <w:rPr>
          <w:rFonts w:cs="Times New Roman"/>
        </w:rPr>
        <w:t xml:space="preserve"> </w:t>
      </w:r>
      <w:r w:rsidRPr="00F40195">
        <w:rPr>
          <w:rFonts w:cs="Times New Roman"/>
          <w:i/>
        </w:rPr>
        <w:t xml:space="preserve">Lifetime effects: The High/Scope Perry Preschool Study through Age 40. </w:t>
      </w:r>
      <w:r w:rsidRPr="00F40195">
        <w:rPr>
          <w:rFonts w:cs="Times New Roman"/>
        </w:rPr>
        <w:t>Ypsilanti, MI: High/Scope Educational Research Foundation.</w:t>
      </w:r>
    </w:p>
    <w:p w:rsidR="00513C41" w:rsidRPr="00F40195" w:rsidRDefault="00513C41" w:rsidP="00841252">
      <w:pPr>
        <w:spacing w:line="240" w:lineRule="auto"/>
        <w:ind w:left="720" w:hanging="720"/>
        <w:rPr>
          <w:rFonts w:cs="Times New Roman"/>
        </w:rPr>
      </w:pPr>
      <w:r w:rsidRPr="00F40195">
        <w:rPr>
          <w:rFonts w:cs="Times New Roman"/>
        </w:rPr>
        <w:t xml:space="preserve">Scott, Leslie. (2004). </w:t>
      </w:r>
      <w:r w:rsidRPr="00F40195">
        <w:rPr>
          <w:rFonts w:cs="Times New Roman"/>
          <w:i/>
        </w:rPr>
        <w:t xml:space="preserve">School library media centers: Selected results from the longitudinal study of 2002 </w:t>
      </w:r>
      <w:r w:rsidRPr="00F40195">
        <w:rPr>
          <w:rFonts w:cs="Times New Roman"/>
        </w:rPr>
        <w:t>(ELS</w:t>
      </w:r>
      <w:proofErr w:type="gramStart"/>
      <w:r w:rsidRPr="00F40195">
        <w:rPr>
          <w:rFonts w:cs="Times New Roman"/>
        </w:rPr>
        <w:t>:2002</w:t>
      </w:r>
      <w:proofErr w:type="gramEnd"/>
      <w:r w:rsidRPr="00F40195">
        <w:rPr>
          <w:rFonts w:cs="Times New Roman"/>
        </w:rPr>
        <w:t xml:space="preserve">) (NCES 205-302). </w:t>
      </w:r>
      <w:proofErr w:type="gramStart"/>
      <w:r w:rsidRPr="00F40195">
        <w:rPr>
          <w:rFonts w:cs="Times New Roman"/>
        </w:rPr>
        <w:t>U.S. Department of Education.</w:t>
      </w:r>
      <w:proofErr w:type="gramEnd"/>
      <w:r w:rsidRPr="00F40195">
        <w:rPr>
          <w:rFonts w:cs="Times New Roman"/>
        </w:rPr>
        <w:t xml:space="preserve"> </w:t>
      </w:r>
      <w:proofErr w:type="gramStart"/>
      <w:r w:rsidRPr="00F40195">
        <w:rPr>
          <w:rFonts w:cs="Times New Roman"/>
        </w:rPr>
        <w:t>National Center for Education Statistics.</w:t>
      </w:r>
      <w:proofErr w:type="gramEnd"/>
      <w:r w:rsidRPr="00F40195">
        <w:rPr>
          <w:rFonts w:cs="Times New Roman"/>
        </w:rPr>
        <w:t xml:space="preserve"> Washington, DC: U.S. Government Printing Office.</w:t>
      </w:r>
    </w:p>
    <w:p w:rsidR="00513C41" w:rsidRPr="00F40195" w:rsidRDefault="00513C41" w:rsidP="00841252">
      <w:pPr>
        <w:spacing w:line="240" w:lineRule="auto"/>
        <w:ind w:left="720" w:hanging="720"/>
        <w:rPr>
          <w:rFonts w:cs="Times New Roman"/>
        </w:rPr>
      </w:pPr>
      <w:proofErr w:type="gramStart"/>
      <w:r w:rsidRPr="00F40195">
        <w:rPr>
          <w:rFonts w:cs="Times New Roman"/>
        </w:rPr>
        <w:t>Seal, Kenna R., &amp; Harmon, Hobart L. (1995).</w:t>
      </w:r>
      <w:proofErr w:type="gramEnd"/>
      <w:r w:rsidRPr="00F40195">
        <w:rPr>
          <w:rFonts w:cs="Times New Roman"/>
        </w:rPr>
        <w:t xml:space="preserve"> </w:t>
      </w:r>
      <w:proofErr w:type="gramStart"/>
      <w:r w:rsidRPr="00F40195">
        <w:rPr>
          <w:rFonts w:cs="Times New Roman"/>
        </w:rPr>
        <w:t>Realities of rural school reform.</w:t>
      </w:r>
      <w:proofErr w:type="gramEnd"/>
      <w:r w:rsidRPr="00F40195">
        <w:rPr>
          <w:rFonts w:cs="Times New Roman"/>
        </w:rPr>
        <w:t xml:space="preserve"> </w:t>
      </w:r>
      <w:r w:rsidRPr="00F40195">
        <w:rPr>
          <w:rFonts w:cs="Times New Roman"/>
          <w:i/>
        </w:rPr>
        <w:t>Phi Delta Kappan, 77</w:t>
      </w:r>
      <w:r w:rsidRPr="00F40195">
        <w:rPr>
          <w:rFonts w:cs="Times New Roman"/>
        </w:rPr>
        <w:t>(2), 119–124.</w:t>
      </w:r>
    </w:p>
    <w:p w:rsidR="00513C41" w:rsidRPr="00F40195" w:rsidRDefault="00513C41" w:rsidP="00841252">
      <w:pPr>
        <w:spacing w:line="240" w:lineRule="auto"/>
        <w:ind w:left="720" w:hanging="720"/>
        <w:rPr>
          <w:rFonts w:cs="Times New Roman"/>
        </w:rPr>
      </w:pPr>
      <w:r w:rsidRPr="00F40195">
        <w:rPr>
          <w:rFonts w:cs="Times New Roman"/>
        </w:rPr>
        <w:t xml:space="preserve">Shanahan, Timothy. (1998). </w:t>
      </w:r>
      <w:proofErr w:type="gramStart"/>
      <w:r w:rsidRPr="00F40195">
        <w:rPr>
          <w:rFonts w:cs="Times New Roman"/>
        </w:rPr>
        <w:t>On</w:t>
      </w:r>
      <w:proofErr w:type="gramEnd"/>
      <w:r w:rsidRPr="00F40195">
        <w:rPr>
          <w:rFonts w:cs="Times New Roman"/>
        </w:rPr>
        <w:t xml:space="preserve"> the effectiveness and limitations of tutoring in reading. </w:t>
      </w:r>
      <w:r w:rsidRPr="00F40195">
        <w:rPr>
          <w:rFonts w:cs="Times New Roman"/>
          <w:i/>
        </w:rPr>
        <w:t>Review of Research in Education, 23</w:t>
      </w:r>
      <w:r w:rsidRPr="00F40195">
        <w:rPr>
          <w:rFonts w:cs="Times New Roman"/>
        </w:rPr>
        <w:t>, 217–234. Washington, DC: American Educational Research Association.</w:t>
      </w:r>
    </w:p>
    <w:p w:rsidR="00513C41" w:rsidRPr="00F40195" w:rsidRDefault="00513C41" w:rsidP="00841252">
      <w:pPr>
        <w:spacing w:line="240" w:lineRule="auto"/>
        <w:ind w:left="720" w:hanging="720"/>
        <w:rPr>
          <w:rFonts w:cs="Times New Roman"/>
        </w:rPr>
      </w:pPr>
      <w:r w:rsidRPr="00F40195">
        <w:rPr>
          <w:rFonts w:cs="Times New Roman"/>
        </w:rPr>
        <w:t xml:space="preserve">Sher, Jonathan &amp; Tompkins, Rachel </w:t>
      </w:r>
      <w:proofErr w:type="gramStart"/>
      <w:r w:rsidRPr="00F40195">
        <w:rPr>
          <w:rFonts w:cs="Times New Roman"/>
        </w:rPr>
        <w:t>B..</w:t>
      </w:r>
      <w:proofErr w:type="gramEnd"/>
      <w:r w:rsidRPr="00F40195">
        <w:rPr>
          <w:rFonts w:cs="Times New Roman"/>
        </w:rPr>
        <w:t xml:space="preserve"> (1977). Economy, efficiency and equality: The myths of rural school and district consolidation. </w:t>
      </w:r>
      <w:proofErr w:type="gramStart"/>
      <w:r w:rsidRPr="00F40195">
        <w:rPr>
          <w:rFonts w:cs="Times New Roman"/>
        </w:rPr>
        <w:t xml:space="preserve">In Jonathan P. Sher (Ed.), </w:t>
      </w:r>
      <w:r w:rsidRPr="00F40195">
        <w:rPr>
          <w:rFonts w:cs="Times New Roman"/>
          <w:i/>
        </w:rPr>
        <w:t>Education in Rural America</w:t>
      </w:r>
      <w:r w:rsidRPr="00F40195">
        <w:rPr>
          <w:rFonts w:cs="Times New Roman"/>
        </w:rPr>
        <w:t>.</w:t>
      </w:r>
      <w:proofErr w:type="gramEnd"/>
      <w:r w:rsidRPr="00F40195">
        <w:rPr>
          <w:rFonts w:cs="Times New Roman"/>
        </w:rPr>
        <w:t xml:space="preserve"> Boulder: Westview Press.</w:t>
      </w:r>
    </w:p>
    <w:p w:rsidR="00513C41" w:rsidRPr="00F40195" w:rsidRDefault="00513C41" w:rsidP="00841252">
      <w:pPr>
        <w:spacing w:line="240" w:lineRule="auto"/>
        <w:ind w:left="720" w:hanging="720"/>
        <w:rPr>
          <w:rFonts w:cs="Times New Roman"/>
        </w:rPr>
      </w:pPr>
      <w:r w:rsidRPr="00F40195">
        <w:rPr>
          <w:rFonts w:cs="Times New Roman"/>
        </w:rPr>
        <w:t xml:space="preserve">Slavin, Robert E., Madden, Nancy, Calderon, Margarita, Chamberlain, Anne, &amp; Hennessy, Megan. (2011). Reading and language outcomes of a multi-year randomized evaluation of transitional bilingual education. </w:t>
      </w:r>
      <w:r w:rsidRPr="00F40195">
        <w:rPr>
          <w:rFonts w:cs="Times New Roman"/>
          <w:i/>
        </w:rPr>
        <w:t>Educational Evaluation &amp; Policy Analysis, 33</w:t>
      </w:r>
      <w:r w:rsidRPr="00F40195">
        <w:rPr>
          <w:rFonts w:cs="Times New Roman"/>
        </w:rPr>
        <w:t xml:space="preserve">(3), 47–58. </w:t>
      </w:r>
    </w:p>
    <w:p w:rsidR="00513C41" w:rsidRPr="00F40195" w:rsidRDefault="00513C41" w:rsidP="00841252">
      <w:pPr>
        <w:spacing w:line="240" w:lineRule="auto"/>
        <w:ind w:left="720" w:hanging="720"/>
        <w:rPr>
          <w:rFonts w:cs="Times New Roman"/>
        </w:rPr>
      </w:pPr>
      <w:proofErr w:type="gramStart"/>
      <w:r w:rsidRPr="00F40195">
        <w:rPr>
          <w:rFonts w:cs="Times New Roman"/>
        </w:rPr>
        <w:t>Slavin, Robert, &amp; Cheung, Alan.</w:t>
      </w:r>
      <w:proofErr w:type="gramEnd"/>
      <w:r w:rsidRPr="00F40195">
        <w:rPr>
          <w:rFonts w:cs="Times New Roman"/>
        </w:rPr>
        <w:t xml:space="preserve"> </w:t>
      </w:r>
      <w:proofErr w:type="gramStart"/>
      <w:r w:rsidRPr="00F40195">
        <w:rPr>
          <w:rFonts w:cs="Times New Roman"/>
        </w:rPr>
        <w:t>(2005). A synthesis of research on language of reading instruction for English language learners.</w:t>
      </w:r>
      <w:proofErr w:type="gramEnd"/>
      <w:r w:rsidRPr="00F40195">
        <w:rPr>
          <w:rFonts w:cs="Times New Roman"/>
        </w:rPr>
        <w:t xml:space="preserve"> </w:t>
      </w:r>
      <w:r w:rsidRPr="00F40195">
        <w:rPr>
          <w:rFonts w:cs="Times New Roman"/>
          <w:i/>
        </w:rPr>
        <w:t>Review of Educational Research,</w:t>
      </w:r>
      <w:r w:rsidRPr="00F40195">
        <w:rPr>
          <w:rFonts w:cs="Times New Roman"/>
        </w:rPr>
        <w:t xml:space="preserve"> </w:t>
      </w:r>
      <w:r w:rsidRPr="00F40195">
        <w:rPr>
          <w:rFonts w:cs="Times New Roman"/>
          <w:i/>
        </w:rPr>
        <w:t>75</w:t>
      </w:r>
      <w:r w:rsidRPr="00F40195">
        <w:rPr>
          <w:rFonts w:cs="Times New Roman"/>
        </w:rPr>
        <w:t>(2), 247–284.</w:t>
      </w:r>
    </w:p>
    <w:p w:rsidR="00513C41" w:rsidRPr="00F40195" w:rsidRDefault="00513C41" w:rsidP="00841252">
      <w:pPr>
        <w:spacing w:line="240" w:lineRule="auto"/>
        <w:ind w:left="720" w:hanging="720"/>
        <w:rPr>
          <w:rFonts w:cs="Times New Roman"/>
        </w:rPr>
      </w:pPr>
      <w:proofErr w:type="gramStart"/>
      <w:r w:rsidRPr="00F40195">
        <w:rPr>
          <w:rFonts w:cs="Times New Roman"/>
        </w:rPr>
        <w:t>Slavin, Robert, Karweit, Nancy, &amp; Wasik, Barbara.</w:t>
      </w:r>
      <w:proofErr w:type="gramEnd"/>
      <w:r w:rsidRPr="00F40195">
        <w:rPr>
          <w:rFonts w:cs="Times New Roman"/>
        </w:rPr>
        <w:t xml:space="preserve"> (1994). </w:t>
      </w:r>
      <w:r w:rsidRPr="00F40195">
        <w:rPr>
          <w:rFonts w:cs="Times New Roman"/>
          <w:i/>
        </w:rPr>
        <w:t>Preventing early school failure: Research policy and practice</w:t>
      </w:r>
      <w:r w:rsidRPr="00F40195">
        <w:rPr>
          <w:rFonts w:cs="Times New Roman"/>
        </w:rPr>
        <w:t>. Boston: Allyn and Bacon.</w:t>
      </w:r>
    </w:p>
    <w:p w:rsidR="00513C41" w:rsidRPr="00F40195" w:rsidRDefault="00513C41" w:rsidP="00841252">
      <w:pPr>
        <w:spacing w:line="240" w:lineRule="auto"/>
        <w:ind w:left="720" w:hanging="720"/>
        <w:rPr>
          <w:rFonts w:cs="Times New Roman"/>
        </w:rPr>
      </w:pPr>
      <w:proofErr w:type="gramStart"/>
      <w:r w:rsidRPr="00F40195">
        <w:rPr>
          <w:rFonts w:cs="Times New Roman"/>
        </w:rPr>
        <w:t>Slavin, Robert.</w:t>
      </w:r>
      <w:proofErr w:type="gramEnd"/>
      <w:r w:rsidRPr="00F40195">
        <w:rPr>
          <w:rFonts w:cs="Times New Roman"/>
        </w:rPr>
        <w:t xml:space="preserve"> (1996). Neverstreaming: Preventing learning disabilities. </w:t>
      </w:r>
      <w:r w:rsidRPr="00F40195">
        <w:rPr>
          <w:rFonts w:cs="Times New Roman"/>
          <w:i/>
        </w:rPr>
        <w:t>Educational Leadership,</w:t>
      </w:r>
      <w:r w:rsidRPr="00F40195">
        <w:rPr>
          <w:rFonts w:cs="Times New Roman"/>
        </w:rPr>
        <w:t xml:space="preserve"> </w:t>
      </w:r>
      <w:r w:rsidRPr="00F40195">
        <w:rPr>
          <w:rFonts w:cs="Times New Roman"/>
          <w:bCs/>
          <w:i/>
        </w:rPr>
        <w:t>53</w:t>
      </w:r>
      <w:r w:rsidRPr="00F40195">
        <w:rPr>
          <w:rFonts w:cs="Times New Roman"/>
          <w:bCs/>
        </w:rPr>
        <w:t>(4)</w:t>
      </w:r>
      <w:proofErr w:type="gramStart"/>
      <w:r w:rsidRPr="00F40195">
        <w:rPr>
          <w:rFonts w:cs="Times New Roman"/>
          <w:bCs/>
        </w:rPr>
        <w:t>,</w:t>
      </w:r>
      <w:r w:rsidRPr="00F40195">
        <w:rPr>
          <w:rFonts w:cs="Times New Roman"/>
          <w:b/>
          <w:bCs/>
        </w:rPr>
        <w:t xml:space="preserve"> </w:t>
      </w:r>
      <w:r w:rsidRPr="00F40195">
        <w:rPr>
          <w:rFonts w:cs="Times New Roman"/>
        </w:rPr>
        <w:t xml:space="preserve"> 4</w:t>
      </w:r>
      <w:proofErr w:type="gramEnd"/>
      <w:r w:rsidRPr="00F40195">
        <w:rPr>
          <w:rFonts w:cs="Times New Roman"/>
        </w:rPr>
        <w:t>–7.</w:t>
      </w:r>
    </w:p>
    <w:p w:rsidR="00513C41" w:rsidRPr="00F40195" w:rsidRDefault="00513C41" w:rsidP="00841252">
      <w:pPr>
        <w:spacing w:line="240" w:lineRule="auto"/>
        <w:ind w:left="720" w:hanging="720"/>
        <w:rPr>
          <w:rFonts w:cs="Times New Roman"/>
        </w:rPr>
      </w:pPr>
      <w:proofErr w:type="gramStart"/>
      <w:r w:rsidRPr="00F40195">
        <w:rPr>
          <w:rFonts w:cs="Times New Roman"/>
        </w:rPr>
        <w:t>Southern, W.T., Jones, E.D., &amp; Stanley, J.C. (1993).</w:t>
      </w:r>
      <w:proofErr w:type="gramEnd"/>
      <w:r w:rsidRPr="00F40195">
        <w:rPr>
          <w:rFonts w:cs="Times New Roman"/>
        </w:rPr>
        <w:t xml:space="preserve"> Acceleration and enrichment:  The context and development of program options. In K.A. Heller, F.J. Monks, &amp; A.H. Passow (Eds.), </w:t>
      </w:r>
      <w:r w:rsidRPr="00F40195">
        <w:rPr>
          <w:rFonts w:cs="Times New Roman"/>
          <w:i/>
        </w:rPr>
        <w:t>International handbook of research and development of giftedness and talent</w:t>
      </w:r>
      <w:r w:rsidRPr="00F40195">
        <w:rPr>
          <w:rFonts w:cs="Times New Roman"/>
        </w:rPr>
        <w:t xml:space="preserve"> (pp. 387–410). Exeter, United Kingdom: Pergamon.</w:t>
      </w:r>
    </w:p>
    <w:p w:rsidR="00513C41" w:rsidRPr="00F40195" w:rsidRDefault="00803AF0" w:rsidP="00841252">
      <w:pPr>
        <w:spacing w:line="240" w:lineRule="auto"/>
        <w:ind w:left="720" w:hanging="720"/>
        <w:rPr>
          <w:rFonts w:cs="Times New Roman"/>
        </w:rPr>
      </w:pPr>
      <w:hyperlink r:id="rId55" w:history="1">
        <w:r w:rsidR="00513C41" w:rsidRPr="00F40195">
          <w:rPr>
            <w:rFonts w:cs="Times New Roman"/>
          </w:rPr>
          <w:t>http://www.tea.state.tx.us/index4.aspx?id=2928&amp;menu_id=949</w:t>
        </w:r>
      </w:hyperlink>
      <w:r w:rsidR="00513C41"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lastRenderedPageBreak/>
        <w:t xml:space="preserve">Steinberg, Laurence. </w:t>
      </w:r>
      <w:proofErr w:type="gramStart"/>
      <w:r w:rsidRPr="00F40195">
        <w:rPr>
          <w:rFonts w:cs="Times New Roman"/>
        </w:rPr>
        <w:t>(1997). Standards outside the classroom.</w:t>
      </w:r>
      <w:proofErr w:type="gramEnd"/>
      <w:r w:rsidRPr="00F40195">
        <w:rPr>
          <w:rFonts w:cs="Times New Roman"/>
        </w:rPr>
        <w:t xml:space="preserve"> In D. Ravitch, (Ed)</w:t>
      </w:r>
      <w:proofErr w:type="gramStart"/>
      <w:r w:rsidRPr="00F40195">
        <w:rPr>
          <w:rFonts w:cs="Times New Roman"/>
        </w:rPr>
        <w:t>.,</w:t>
      </w:r>
      <w:proofErr w:type="gramEnd"/>
      <w:r w:rsidRPr="00F40195">
        <w:rPr>
          <w:rFonts w:cs="Times New Roman"/>
          <w:i/>
          <w:iCs/>
        </w:rPr>
        <w:t xml:space="preserve"> The state of student performance in American schools: Brookings papers on education policy, Volume 1</w:t>
      </w:r>
      <w:r w:rsidRPr="00F40195">
        <w:rPr>
          <w:rFonts w:cs="Times New Roman"/>
        </w:rPr>
        <w:t>. Washington, DC: Brookings Institution.</w:t>
      </w:r>
    </w:p>
    <w:p w:rsidR="00513C41" w:rsidRPr="00F40195" w:rsidRDefault="00513C41" w:rsidP="00841252">
      <w:pPr>
        <w:spacing w:line="240" w:lineRule="auto"/>
        <w:ind w:left="720" w:hanging="720"/>
        <w:rPr>
          <w:rFonts w:cs="Times New Roman"/>
        </w:rPr>
      </w:pPr>
      <w:proofErr w:type="gramStart"/>
      <w:r w:rsidRPr="00F40195">
        <w:rPr>
          <w:rFonts w:cs="Times New Roman"/>
        </w:rPr>
        <w:t>Steiny, Julia.</w:t>
      </w:r>
      <w:proofErr w:type="gramEnd"/>
      <w:r w:rsidRPr="00F40195">
        <w:rPr>
          <w:rFonts w:cs="Times New Roman"/>
        </w:rPr>
        <w:t xml:space="preserve"> (2009). </w:t>
      </w:r>
      <w:proofErr w:type="gramStart"/>
      <w:r w:rsidRPr="00F40195">
        <w:rPr>
          <w:rFonts w:cs="Times New Roman"/>
        </w:rPr>
        <w:t>A</w:t>
      </w:r>
      <w:proofErr w:type="gramEnd"/>
      <w:r w:rsidRPr="00F40195">
        <w:rPr>
          <w:rFonts w:cs="Times New Roman"/>
        </w:rPr>
        <w:t xml:space="preserve"> work in progress: Formative assessments shape teaching and provide mutual professional development. </w:t>
      </w:r>
      <w:r w:rsidRPr="00F40195">
        <w:rPr>
          <w:rFonts w:cs="Times New Roman"/>
          <w:i/>
        </w:rPr>
        <w:t>Journal of Staff Development</w:t>
      </w:r>
      <w:r w:rsidRPr="00F40195">
        <w:rPr>
          <w:rFonts w:cs="Times New Roman"/>
          <w:b/>
          <w:i/>
        </w:rPr>
        <w:t>, 30</w:t>
      </w:r>
      <w:r w:rsidRPr="00F40195">
        <w:rPr>
          <w:rFonts w:cs="Times New Roman"/>
        </w:rPr>
        <w:t>(3), 32–37.</w:t>
      </w:r>
    </w:p>
    <w:p w:rsidR="00513C41" w:rsidRPr="00F40195" w:rsidRDefault="00513C41" w:rsidP="00841252">
      <w:pPr>
        <w:spacing w:line="240" w:lineRule="auto"/>
        <w:ind w:left="720" w:hanging="720"/>
        <w:rPr>
          <w:rFonts w:cs="Times New Roman"/>
        </w:rPr>
      </w:pPr>
      <w:proofErr w:type="gramStart"/>
      <w:r w:rsidRPr="00F40195">
        <w:rPr>
          <w:rFonts w:cs="Times New Roman"/>
        </w:rPr>
        <w:t>Stringfield, Samuel, Ross, Steven, &amp; Smith, Lana.</w:t>
      </w:r>
      <w:proofErr w:type="gramEnd"/>
      <w:r w:rsidRPr="00F40195">
        <w:rPr>
          <w:rFonts w:cs="Times New Roman"/>
        </w:rPr>
        <w:t xml:space="preserve"> (1996). </w:t>
      </w:r>
      <w:proofErr w:type="gramStart"/>
      <w:r w:rsidRPr="00F40195">
        <w:rPr>
          <w:rFonts w:cs="Times New Roman"/>
          <w:i/>
        </w:rPr>
        <w:t>Bold</w:t>
      </w:r>
      <w:proofErr w:type="gramEnd"/>
      <w:r w:rsidRPr="00F40195">
        <w:rPr>
          <w:rFonts w:cs="Times New Roman"/>
          <w:i/>
        </w:rPr>
        <w:t xml:space="preserve"> plans for school restructuring: The new American school designs</w:t>
      </w:r>
      <w:r w:rsidRPr="00F40195">
        <w:rPr>
          <w:rFonts w:cs="Times New Roman"/>
        </w:rPr>
        <w:t xml:space="preserve">. Mahwah, NJ: Lawrence Erlbaum. </w:t>
      </w:r>
    </w:p>
    <w:p w:rsidR="00513C41" w:rsidRPr="00F40195" w:rsidRDefault="00513C41" w:rsidP="00841252">
      <w:pPr>
        <w:spacing w:line="240" w:lineRule="auto"/>
        <w:ind w:left="720" w:hanging="720"/>
        <w:rPr>
          <w:rFonts w:cs="Times New Roman"/>
        </w:rPr>
      </w:pPr>
      <w:proofErr w:type="gramStart"/>
      <w:r w:rsidRPr="00F40195">
        <w:rPr>
          <w:rFonts w:cs="Times New Roman"/>
        </w:rPr>
        <w:t>Struck, Jeanne.</w:t>
      </w:r>
      <w:proofErr w:type="gramEnd"/>
      <w:r w:rsidRPr="00F40195">
        <w:rPr>
          <w:rFonts w:cs="Times New Roman"/>
        </w:rPr>
        <w:t xml:space="preserve"> </w:t>
      </w:r>
      <w:proofErr w:type="gramStart"/>
      <w:r w:rsidRPr="00F40195">
        <w:rPr>
          <w:rFonts w:cs="Times New Roman"/>
        </w:rPr>
        <w:t>(2003, April).</w:t>
      </w:r>
      <w:proofErr w:type="gramEnd"/>
      <w:r w:rsidRPr="00F40195">
        <w:rPr>
          <w:rFonts w:cs="Times New Roman"/>
        </w:rPr>
        <w:t xml:space="preserve"> </w:t>
      </w:r>
      <w:proofErr w:type="gramStart"/>
      <w:r w:rsidRPr="00F40195">
        <w:rPr>
          <w:rFonts w:cs="Times New Roman"/>
          <w:i/>
        </w:rPr>
        <w:t>A study of talent development in a predominantly low socioeconomic and/or African American population</w:t>
      </w:r>
      <w:r w:rsidRPr="00F40195">
        <w:rPr>
          <w:rFonts w:cs="Times New Roman"/>
        </w:rPr>
        <w:t>.</w:t>
      </w:r>
      <w:proofErr w:type="gramEnd"/>
      <w:r w:rsidRPr="00F40195">
        <w:rPr>
          <w:rFonts w:cs="Times New Roman"/>
        </w:rPr>
        <w:t xml:space="preserve"> Paper presented at the annual meeting of the American Educational Research Association, Chicago, IL.</w:t>
      </w:r>
    </w:p>
    <w:p w:rsidR="00A763C9" w:rsidRPr="00F40195" w:rsidRDefault="00F354BE" w:rsidP="00841252">
      <w:pPr>
        <w:spacing w:line="240" w:lineRule="auto"/>
        <w:ind w:left="720" w:hanging="720"/>
        <w:rPr>
          <w:rFonts w:cs="Times New Roman"/>
        </w:rPr>
      </w:pPr>
      <w:r w:rsidRPr="00F40195">
        <w:rPr>
          <w:rFonts w:cs="Times New Roman"/>
        </w:rPr>
        <w:t xml:space="preserve">Swift, E. (2005).  </w:t>
      </w:r>
      <w:proofErr w:type="gramStart"/>
      <w:r w:rsidRPr="00F40195">
        <w:rPr>
          <w:rFonts w:cs="Times New Roman"/>
          <w:i/>
        </w:rPr>
        <w:t>Estimating the central office resources necessary for an adequate educational program.</w:t>
      </w:r>
      <w:proofErr w:type="gramEnd"/>
      <w:r w:rsidRPr="00F40195">
        <w:rPr>
          <w:rFonts w:cs="Times New Roman"/>
        </w:rPr>
        <w:t xml:space="preserve">  </w:t>
      </w:r>
      <w:proofErr w:type="gramStart"/>
      <w:r w:rsidRPr="00F40195">
        <w:rPr>
          <w:rFonts w:cs="Times New Roman"/>
        </w:rPr>
        <w:t>Doctoral dissertation at the USC Rossier School of Education, August 2005.</w:t>
      </w:r>
      <w:proofErr w:type="gramEnd"/>
      <w:r w:rsidR="00A763C9" w:rsidRPr="00F40195">
        <w:rPr>
          <w:rFonts w:cs="Times New Roman"/>
        </w:rPr>
        <w:t xml:space="preserve">  </w:t>
      </w:r>
    </w:p>
    <w:p w:rsidR="002806B9" w:rsidRPr="00F40195" w:rsidRDefault="00513C41" w:rsidP="00841252">
      <w:pPr>
        <w:spacing w:line="240" w:lineRule="auto"/>
        <w:rPr>
          <w:rFonts w:cs="Times New Roman"/>
          <w:i/>
        </w:rPr>
      </w:pPr>
      <w:r w:rsidRPr="00F40195">
        <w:rPr>
          <w:rFonts w:cs="Times New Roman"/>
        </w:rPr>
        <w:t xml:space="preserve">Taylor, Lori L. (2010). </w:t>
      </w:r>
      <w:r w:rsidRPr="00F40195">
        <w:rPr>
          <w:rFonts w:cs="Times New Roman"/>
          <w:i/>
        </w:rPr>
        <w:t>Putting teachers in context: A comp</w:t>
      </w:r>
      <w:r w:rsidR="002806B9" w:rsidRPr="00F40195">
        <w:rPr>
          <w:rFonts w:cs="Times New Roman"/>
          <w:i/>
        </w:rPr>
        <w:t>arable wage analysis of Wyoming</w:t>
      </w:r>
    </w:p>
    <w:p w:rsidR="00A763C9" w:rsidRPr="003D442F" w:rsidRDefault="00513C41" w:rsidP="003D442F">
      <w:pPr>
        <w:spacing w:line="240" w:lineRule="auto"/>
        <w:ind w:left="720"/>
        <w:rPr>
          <w:rFonts w:cs="Times New Roman"/>
        </w:rPr>
      </w:pPr>
      <w:proofErr w:type="gramStart"/>
      <w:r w:rsidRPr="00F40195">
        <w:rPr>
          <w:rFonts w:cs="Times New Roman"/>
          <w:i/>
        </w:rPr>
        <w:t>teacher</w:t>
      </w:r>
      <w:proofErr w:type="gramEnd"/>
      <w:r w:rsidRPr="00F40195">
        <w:rPr>
          <w:rFonts w:cs="Times New Roman"/>
          <w:i/>
        </w:rPr>
        <w:t xml:space="preserve"> salaries</w:t>
      </w:r>
      <w:r w:rsidRPr="00F40195">
        <w:rPr>
          <w:rFonts w:cs="Times New Roman"/>
        </w:rPr>
        <w:t xml:space="preserve">. A report prepared for the Select Committee on School Finance Recalibration </w:t>
      </w:r>
    </w:p>
    <w:p w:rsidR="00513C41" w:rsidRPr="00F40195" w:rsidRDefault="00513C41" w:rsidP="00841252">
      <w:pPr>
        <w:spacing w:line="240" w:lineRule="auto"/>
        <w:ind w:left="720" w:hanging="720"/>
        <w:rPr>
          <w:rFonts w:cs="Times New Roman"/>
        </w:rPr>
      </w:pPr>
      <w:proofErr w:type="gramStart"/>
      <w:r w:rsidRPr="00F40195">
        <w:rPr>
          <w:rFonts w:cs="Times New Roman"/>
        </w:rPr>
        <w:t>Taylor, Lori L., &amp; Fowler, William J. (2006).</w:t>
      </w:r>
      <w:proofErr w:type="gramEnd"/>
      <w:r w:rsidRPr="00F40195">
        <w:rPr>
          <w:rFonts w:cs="Times New Roman"/>
        </w:rPr>
        <w:t xml:space="preserve"> </w:t>
      </w:r>
      <w:r w:rsidRPr="00F40195">
        <w:rPr>
          <w:rFonts w:cs="Times New Roman"/>
          <w:i/>
        </w:rPr>
        <w:t>A comparative wage approach to geographic cost adjustment</w:t>
      </w:r>
      <w:r w:rsidRPr="00F40195">
        <w:rPr>
          <w:rFonts w:cs="Times New Roman"/>
        </w:rPr>
        <w:t>. Washington, DC: National Center for Education Statistics.</w:t>
      </w:r>
    </w:p>
    <w:p w:rsidR="00513C41" w:rsidRPr="00F40195" w:rsidRDefault="00513C41" w:rsidP="00841252">
      <w:pPr>
        <w:spacing w:line="240" w:lineRule="auto"/>
        <w:ind w:left="720" w:hanging="720"/>
        <w:rPr>
          <w:rFonts w:cs="Times New Roman"/>
        </w:rPr>
      </w:pPr>
      <w:r w:rsidRPr="00F40195">
        <w:rPr>
          <w:rFonts w:cs="Times New Roman"/>
        </w:rPr>
        <w:t xml:space="preserve">Taylor, Lori. (2004). </w:t>
      </w:r>
      <w:proofErr w:type="gramStart"/>
      <w:r w:rsidRPr="00F40195">
        <w:rPr>
          <w:rFonts w:cs="Times New Roman"/>
          <w:i/>
        </w:rPr>
        <w:t>Adjusting</w:t>
      </w:r>
      <w:proofErr w:type="gramEnd"/>
      <w:r w:rsidRPr="00F40195">
        <w:rPr>
          <w:rFonts w:cs="Times New Roman"/>
          <w:i/>
        </w:rPr>
        <w:t xml:space="preserve"> for geographic variations in teacher compensation: Updating the Texas Cost-of-Education Index</w:t>
      </w:r>
      <w:r w:rsidRPr="00F40195">
        <w:rPr>
          <w:rFonts w:cs="Times New Roman"/>
          <w:b/>
        </w:rPr>
        <w:t xml:space="preserve">. </w:t>
      </w:r>
      <w:r w:rsidRPr="00F40195">
        <w:rPr>
          <w:rFonts w:cs="Times New Roman"/>
        </w:rPr>
        <w:t>A</w:t>
      </w:r>
      <w:r w:rsidRPr="00F40195">
        <w:rPr>
          <w:rFonts w:cs="Times New Roman"/>
          <w:b/>
        </w:rPr>
        <w:t xml:space="preserve"> </w:t>
      </w:r>
      <w:r w:rsidRPr="00F40195">
        <w:rPr>
          <w:rFonts w:cs="Times New Roman"/>
        </w:rPr>
        <w:t>report prepared for the Texas Legislature Joint committee on Public School finance, The Texas</w:t>
      </w:r>
      <w:r w:rsidRPr="00F40195">
        <w:rPr>
          <w:rFonts w:cs="Times New Roman"/>
          <w:b/>
        </w:rPr>
        <w:t xml:space="preserve"> </w:t>
      </w:r>
      <w:r w:rsidRPr="00F40195">
        <w:rPr>
          <w:rFonts w:cs="Times New Roman"/>
        </w:rPr>
        <w:t xml:space="preserve">School Finance Project. Austin. </w:t>
      </w:r>
      <w:proofErr w:type="gramStart"/>
      <w:r w:rsidRPr="00F40195">
        <w:rPr>
          <w:rFonts w:cs="Times New Roman"/>
        </w:rPr>
        <w:t xml:space="preserve">Available at </w:t>
      </w:r>
      <w:hyperlink r:id="rId56" w:history="1">
        <w:r w:rsidRPr="00F40195">
          <w:rPr>
            <w:rStyle w:val="Hyperlink"/>
            <w:rFonts w:cs="Times New Roman"/>
          </w:rPr>
          <w:t>www.capitol.state.tx.us/psf/reports.htm</w:t>
        </w:r>
      </w:hyperlink>
      <w:r w:rsidRPr="00F40195">
        <w:rPr>
          <w:rFonts w:cs="Times New Roman"/>
        </w:rPr>
        <w:t>.</w:t>
      </w:r>
      <w:proofErr w:type="gramEnd"/>
    </w:p>
    <w:p w:rsidR="00CA28E9" w:rsidRPr="00F40195" w:rsidRDefault="00CA28E9" w:rsidP="00CA28E9">
      <w:pPr>
        <w:spacing w:line="240" w:lineRule="auto"/>
        <w:rPr>
          <w:rFonts w:cs="Times New Roman"/>
          <w:i/>
        </w:rPr>
      </w:pPr>
      <w:r w:rsidRPr="00F40195">
        <w:rPr>
          <w:rFonts w:cs="Times New Roman"/>
        </w:rPr>
        <w:t xml:space="preserve">Tenopir, C. (2003). </w:t>
      </w:r>
      <w:r w:rsidRPr="00F40195">
        <w:rPr>
          <w:rFonts w:cs="Times New Roman"/>
          <w:i/>
        </w:rPr>
        <w:t xml:space="preserve">Use and users of electronic media sources: An overview and analysis of </w:t>
      </w:r>
    </w:p>
    <w:p w:rsidR="00CA28E9" w:rsidRPr="00F40195" w:rsidRDefault="00CA28E9" w:rsidP="00CA28E9">
      <w:pPr>
        <w:spacing w:line="240" w:lineRule="auto"/>
        <w:ind w:left="720"/>
        <w:rPr>
          <w:rFonts w:cs="Times New Roman"/>
        </w:rPr>
      </w:pPr>
      <w:proofErr w:type="gramStart"/>
      <w:r w:rsidRPr="00F40195">
        <w:rPr>
          <w:rFonts w:cs="Times New Roman"/>
          <w:i/>
        </w:rPr>
        <w:t>recent</w:t>
      </w:r>
      <w:proofErr w:type="gramEnd"/>
      <w:r w:rsidRPr="00F40195">
        <w:rPr>
          <w:rFonts w:cs="Times New Roman"/>
          <w:i/>
        </w:rPr>
        <w:t xml:space="preserve"> research studies</w:t>
      </w:r>
      <w:r w:rsidRPr="00F40195">
        <w:rPr>
          <w:rFonts w:cs="Times New Roman"/>
        </w:rPr>
        <w:t xml:space="preserve">. Washington DC: Council of Library and Information Resources. </w:t>
      </w:r>
      <w:proofErr w:type="gramStart"/>
      <w:r w:rsidRPr="00F40195">
        <w:rPr>
          <w:rFonts w:cs="Times New Roman"/>
        </w:rPr>
        <w:t xml:space="preserve">Also available at </w:t>
      </w:r>
      <w:hyperlink r:id="rId57" w:history="1">
        <w:r w:rsidRPr="00F40195">
          <w:rPr>
            <w:rStyle w:val="Hyperlink"/>
            <w:rFonts w:cs="Times New Roman"/>
          </w:rPr>
          <w:t>http://www.clir.org/pubs/reports/pub120/contents.html</w:t>
        </w:r>
      </w:hyperlink>
      <w:r w:rsidRPr="00F40195">
        <w:rPr>
          <w:rFonts w:cs="Times New Roman"/>
        </w:rPr>
        <w:t>.</w:t>
      </w:r>
      <w:proofErr w:type="gramEnd"/>
      <w:r w:rsidRPr="00F40195">
        <w:rPr>
          <w:rFonts w:cs="Times New Roman"/>
        </w:rPr>
        <w:t xml:space="preserve"> </w:t>
      </w:r>
    </w:p>
    <w:p w:rsidR="00513C41" w:rsidRPr="00F40195" w:rsidRDefault="00513C41" w:rsidP="00841252">
      <w:pPr>
        <w:spacing w:line="240" w:lineRule="auto"/>
        <w:ind w:left="720" w:hanging="720"/>
        <w:rPr>
          <w:rFonts w:cs="Times New Roman"/>
        </w:rPr>
      </w:pPr>
      <w:r w:rsidRPr="00F40195">
        <w:rPr>
          <w:rFonts w:cs="Times New Roman"/>
        </w:rPr>
        <w:t xml:space="preserve">Torgeson, J. K. (2004). </w:t>
      </w:r>
      <w:proofErr w:type="gramStart"/>
      <w:r w:rsidRPr="00F40195">
        <w:rPr>
          <w:rFonts w:cs="Times New Roman"/>
        </w:rPr>
        <w:t>Avoiding the Devastating Downward Spiral</w:t>
      </w:r>
      <w:r w:rsidR="009739FE" w:rsidRPr="00F40195">
        <w:rPr>
          <w:rFonts w:cs="Times New Roman"/>
        </w:rPr>
        <w:t>.</w:t>
      </w:r>
      <w:proofErr w:type="gramEnd"/>
      <w:r w:rsidR="009739FE" w:rsidRPr="00F40195">
        <w:rPr>
          <w:rFonts w:cs="Times New Roman"/>
        </w:rPr>
        <w:t xml:space="preserve"> </w:t>
      </w:r>
      <w:r w:rsidRPr="00F40195">
        <w:rPr>
          <w:rFonts w:cs="Times New Roman"/>
          <w:i/>
        </w:rPr>
        <w:t>American Educator</w:t>
      </w:r>
      <w:r w:rsidRPr="00F40195">
        <w:rPr>
          <w:rFonts w:cs="Times New Roman"/>
        </w:rPr>
        <w:t xml:space="preserve"> </w:t>
      </w:r>
      <w:r w:rsidRPr="00F40195">
        <w:rPr>
          <w:rFonts w:cs="Times New Roman"/>
          <w:i/>
        </w:rPr>
        <w:t>28</w:t>
      </w:r>
      <w:r w:rsidRPr="00F40195">
        <w:rPr>
          <w:rFonts w:cs="Times New Roman"/>
        </w:rPr>
        <w:t>(3), 6-19, 45-47.</w:t>
      </w:r>
    </w:p>
    <w:p w:rsidR="00513C41" w:rsidRPr="00F40195" w:rsidRDefault="00513C41" w:rsidP="00841252">
      <w:pPr>
        <w:spacing w:line="240" w:lineRule="auto"/>
        <w:ind w:left="720" w:hanging="720"/>
        <w:rPr>
          <w:rFonts w:cs="Times New Roman"/>
          <w:color w:val="000000"/>
        </w:rPr>
      </w:pPr>
      <w:r w:rsidRPr="00F40195">
        <w:rPr>
          <w:rFonts w:cs="Times New Roman"/>
          <w:color w:val="000000"/>
        </w:rPr>
        <w:t>Tyler, John H., Eric S. Taylor, Thomas J., &amp; Kane Amy L. Wooten</w:t>
      </w:r>
      <w:r w:rsidR="009739FE" w:rsidRPr="00F40195">
        <w:rPr>
          <w:rFonts w:cs="Times New Roman"/>
          <w:color w:val="000000"/>
        </w:rPr>
        <w:t xml:space="preserve">. </w:t>
      </w:r>
      <w:r w:rsidRPr="00F40195">
        <w:rPr>
          <w:rFonts w:cs="Times New Roman"/>
          <w:color w:val="000000"/>
        </w:rPr>
        <w:t>(2010)</w:t>
      </w:r>
      <w:r w:rsidR="009739FE" w:rsidRPr="00F40195">
        <w:rPr>
          <w:rFonts w:cs="Times New Roman"/>
          <w:color w:val="000000"/>
        </w:rPr>
        <w:t xml:space="preserve">. </w:t>
      </w:r>
      <w:r w:rsidRPr="00F40195">
        <w:rPr>
          <w:rFonts w:cs="Times New Roman"/>
          <w:i/>
          <w:color w:val="000000"/>
        </w:rPr>
        <w:t xml:space="preserve">Using Student Performance Data to Identify Effective Classroom Practices, </w:t>
      </w:r>
      <w:r w:rsidRPr="00F40195">
        <w:rPr>
          <w:rFonts w:cs="Times New Roman"/>
          <w:color w:val="000000"/>
        </w:rPr>
        <w:t>American Economic Review, 100(2), 256-260.</w:t>
      </w:r>
    </w:p>
    <w:p w:rsidR="00513C41" w:rsidRPr="00F40195" w:rsidRDefault="00513C41" w:rsidP="00841252">
      <w:pPr>
        <w:spacing w:line="240" w:lineRule="auto"/>
        <w:ind w:left="720" w:hanging="720"/>
        <w:rPr>
          <w:rFonts w:cs="Times New Roman"/>
          <w:u w:val="single"/>
        </w:rPr>
      </w:pPr>
      <w:proofErr w:type="gramStart"/>
      <w:r w:rsidRPr="00F40195">
        <w:rPr>
          <w:rFonts w:cs="Times New Roman"/>
        </w:rPr>
        <w:t>United States Department of Education (USDOE).</w:t>
      </w:r>
      <w:proofErr w:type="gramEnd"/>
      <w:r w:rsidRPr="00F40195">
        <w:rPr>
          <w:rFonts w:cs="Times New Roman"/>
        </w:rPr>
        <w:t xml:space="preserve"> (2004). “Elementary &amp; Secondary Education Subpart 1 — Formula Grants to Local Educational Agencies, SEC. 7111 – 7119.” </w:t>
      </w:r>
    </w:p>
    <w:p w:rsidR="00513C41" w:rsidRPr="00F40195" w:rsidRDefault="00513C41" w:rsidP="00841252">
      <w:pPr>
        <w:spacing w:line="240" w:lineRule="auto"/>
        <w:ind w:left="720" w:hanging="720"/>
        <w:rPr>
          <w:rFonts w:cs="Times New Roman"/>
        </w:rPr>
      </w:pPr>
      <w:proofErr w:type="gramStart"/>
      <w:r w:rsidRPr="00F40195">
        <w:rPr>
          <w:rFonts w:cs="Times New Roman"/>
        </w:rPr>
        <w:t>United States Department of Education (USDOE).</w:t>
      </w:r>
      <w:proofErr w:type="gramEnd"/>
      <w:r w:rsidRPr="00F40195">
        <w:rPr>
          <w:rFonts w:cs="Times New Roman"/>
        </w:rPr>
        <w:t xml:space="preserve"> (2008). “About Impact Aid: Impact Aid Programs.” http://www2.ed.gov/about/offices/list/oese/impactaid/whatisia.html</w:t>
      </w:r>
    </w:p>
    <w:p w:rsidR="00513C41" w:rsidRPr="00F40195" w:rsidRDefault="00513C41" w:rsidP="00841252">
      <w:pPr>
        <w:spacing w:line="240" w:lineRule="auto"/>
        <w:ind w:left="720" w:hanging="720"/>
        <w:rPr>
          <w:rFonts w:cs="Times New Roman"/>
        </w:rPr>
      </w:pPr>
      <w:proofErr w:type="gramStart"/>
      <w:r w:rsidRPr="00F40195">
        <w:rPr>
          <w:rFonts w:cs="Times New Roman"/>
        </w:rPr>
        <w:t>United States Department of Education (USDOE).</w:t>
      </w:r>
      <w:proofErr w:type="gramEnd"/>
      <w:r w:rsidRPr="00F40195">
        <w:rPr>
          <w:rFonts w:cs="Times New Roman"/>
        </w:rPr>
        <w:t xml:space="preserve"> </w:t>
      </w:r>
      <w:proofErr w:type="gramStart"/>
      <w:r w:rsidRPr="00F40195">
        <w:rPr>
          <w:rFonts w:cs="Times New Roman"/>
        </w:rPr>
        <w:t xml:space="preserve">(2012). </w:t>
      </w:r>
      <w:r w:rsidRPr="00F40195">
        <w:rPr>
          <w:rFonts w:cs="Times New Roman"/>
          <w:u w:val="single"/>
        </w:rPr>
        <w:t>Department of Education IMPACT AID Fiscal Year 2013 Budget Request.</w:t>
      </w:r>
      <w:proofErr w:type="gramEnd"/>
      <w:r w:rsidRPr="00F40195">
        <w:rPr>
          <w:rFonts w:cs="Times New Roman"/>
        </w:rPr>
        <w:t xml:space="preserve"> Washington, DC: Author. </w:t>
      </w:r>
      <w:proofErr w:type="gramStart"/>
      <w:r w:rsidRPr="00F40195">
        <w:rPr>
          <w:rFonts w:cs="Times New Roman"/>
        </w:rPr>
        <w:t xml:space="preserve">Downloaded from </w:t>
      </w:r>
      <w:hyperlink r:id="rId58" w:history="1">
        <w:r w:rsidRPr="00F40195">
          <w:rPr>
            <w:rStyle w:val="Hyperlink"/>
            <w:rFonts w:cs="Times New Roman"/>
          </w:rPr>
          <w:t>http://www2.ed.gov/about/overview/budget/budget13/justifications/c-impactaid.pdf</w:t>
        </w:r>
      </w:hyperlink>
      <w:r w:rsidRPr="00F40195">
        <w:rPr>
          <w:rFonts w:cs="Times New Roman"/>
        </w:rPr>
        <w:t>.</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Vandell, Deborah L., Pierce, Kim M., &amp; Dadisman, Kim.</w:t>
      </w:r>
      <w:proofErr w:type="gramEnd"/>
      <w:r w:rsidRPr="00F40195">
        <w:rPr>
          <w:rFonts w:cs="Times New Roman"/>
        </w:rPr>
        <w:t xml:space="preserve"> </w:t>
      </w:r>
      <w:proofErr w:type="gramStart"/>
      <w:r w:rsidRPr="00F40195">
        <w:rPr>
          <w:rFonts w:cs="Times New Roman"/>
        </w:rPr>
        <w:t>(2005). Out-of-school settings as a developmental context for children and youth.</w:t>
      </w:r>
      <w:proofErr w:type="gramEnd"/>
      <w:r w:rsidRPr="00F40195">
        <w:rPr>
          <w:rFonts w:cs="Times New Roman"/>
        </w:rPr>
        <w:t xml:space="preserve"> </w:t>
      </w:r>
      <w:proofErr w:type="gramStart"/>
      <w:r w:rsidRPr="00F40195">
        <w:rPr>
          <w:rFonts w:cs="Times New Roman"/>
        </w:rPr>
        <w:t xml:space="preserve">In R. Kail (Ed.) </w:t>
      </w:r>
      <w:r w:rsidRPr="00F40195">
        <w:rPr>
          <w:rFonts w:cs="Times New Roman"/>
          <w:i/>
          <w:iCs/>
        </w:rPr>
        <w:t>Advances in child development and behavior</w:t>
      </w:r>
      <w:r w:rsidRPr="00F40195">
        <w:rPr>
          <w:rFonts w:cs="Times New Roman"/>
        </w:rPr>
        <w:t>.</w:t>
      </w:r>
      <w:proofErr w:type="gramEnd"/>
      <w:r w:rsidRPr="00F40195">
        <w:rPr>
          <w:rFonts w:cs="Times New Roman"/>
        </w:rPr>
        <w:t xml:space="preserve"> </w:t>
      </w:r>
      <w:proofErr w:type="gramStart"/>
      <w:r w:rsidRPr="00F40195">
        <w:rPr>
          <w:rFonts w:cs="Times New Roman"/>
        </w:rPr>
        <w:t>Volume 33.</w:t>
      </w:r>
      <w:proofErr w:type="gramEnd"/>
      <w:r w:rsidRPr="00F40195">
        <w:rPr>
          <w:rFonts w:cs="Times New Roman"/>
        </w:rPr>
        <w:t xml:space="preserve"> </w:t>
      </w:r>
      <w:proofErr w:type="gramStart"/>
      <w:r w:rsidRPr="00F40195">
        <w:rPr>
          <w:rFonts w:cs="Times New Roman"/>
        </w:rPr>
        <w:t>Academic Press.</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VanTassel-Baska, J., Bass, G., Ries, R., Poland, D., &amp; Avery, L.D. (1998).</w:t>
      </w:r>
      <w:proofErr w:type="gramEnd"/>
      <w:r w:rsidRPr="00F40195">
        <w:rPr>
          <w:rFonts w:cs="Times New Roman"/>
        </w:rPr>
        <w:t xml:space="preserve"> </w:t>
      </w:r>
      <w:proofErr w:type="gramStart"/>
      <w:r w:rsidRPr="00F40195">
        <w:rPr>
          <w:rFonts w:cs="Times New Roman"/>
        </w:rPr>
        <w:t>A National Study of Science Curriculum Effectiveness with High Ability Students.</w:t>
      </w:r>
      <w:proofErr w:type="gramEnd"/>
      <w:r w:rsidRPr="00F40195">
        <w:rPr>
          <w:rFonts w:cs="Times New Roman"/>
        </w:rPr>
        <w:t xml:space="preserve"> </w:t>
      </w:r>
      <w:proofErr w:type="gramStart"/>
      <w:r w:rsidRPr="00F40195">
        <w:rPr>
          <w:rFonts w:cs="Times New Roman"/>
          <w:i/>
          <w:iCs/>
        </w:rPr>
        <w:t>Gifted Child Quarterly,</w:t>
      </w:r>
      <w:r w:rsidRPr="00F40195">
        <w:rPr>
          <w:rFonts w:cs="Times New Roman"/>
        </w:rPr>
        <w:t xml:space="preserve"> </w:t>
      </w:r>
      <w:r w:rsidRPr="00F40195">
        <w:rPr>
          <w:rFonts w:cs="Times New Roman"/>
          <w:i/>
        </w:rPr>
        <w:t>42</w:t>
      </w:r>
      <w:r w:rsidRPr="00F40195">
        <w:rPr>
          <w:rFonts w:cs="Times New Roman"/>
        </w:rPr>
        <w:t>(4), 200-211.</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lastRenderedPageBreak/>
        <w:t>VanTassel-Baska, J., Johnson, D.T., &amp; Avery, L.D. (2002).</w:t>
      </w:r>
      <w:proofErr w:type="gramEnd"/>
      <w:r w:rsidRPr="00F40195">
        <w:rPr>
          <w:rFonts w:cs="Times New Roman"/>
        </w:rPr>
        <w:t xml:space="preserve"> Using performance tasks in the identification of economically disadvantaged and minority gifted learners:  Findings from Project STAR. </w:t>
      </w:r>
      <w:proofErr w:type="gramStart"/>
      <w:r w:rsidRPr="00F40195">
        <w:rPr>
          <w:rFonts w:cs="Times New Roman"/>
          <w:i/>
          <w:iCs/>
        </w:rPr>
        <w:t>Gifted Child Quarterly</w:t>
      </w:r>
      <w:r w:rsidRPr="00F40195">
        <w:rPr>
          <w:rFonts w:cs="Times New Roman"/>
          <w:i/>
        </w:rPr>
        <w:t>, 46,</w:t>
      </w:r>
      <w:r w:rsidRPr="00F40195">
        <w:rPr>
          <w:rFonts w:cs="Times New Roman"/>
        </w:rPr>
        <w:t xml:space="preserve"> 110 –123.</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VanTassel-Baska, J., Johnson, D.T., Hughes, C.E., &amp; Boyce, L.N. (1996).</w:t>
      </w:r>
      <w:proofErr w:type="gramEnd"/>
      <w:r w:rsidRPr="00F40195">
        <w:rPr>
          <w:rFonts w:cs="Times New Roman"/>
        </w:rPr>
        <w:t xml:space="preserve"> </w:t>
      </w:r>
      <w:proofErr w:type="gramStart"/>
      <w:r w:rsidRPr="00F40195">
        <w:rPr>
          <w:rFonts w:cs="Times New Roman"/>
        </w:rPr>
        <w:t>A study of language arts curriculum effectiveness with gifted learners.</w:t>
      </w:r>
      <w:proofErr w:type="gramEnd"/>
      <w:r w:rsidRPr="00F40195">
        <w:rPr>
          <w:rFonts w:cs="Times New Roman"/>
        </w:rPr>
        <w:t xml:space="preserve"> </w:t>
      </w:r>
      <w:r w:rsidRPr="00F40195">
        <w:rPr>
          <w:rFonts w:cs="Times New Roman"/>
          <w:i/>
          <w:iCs/>
        </w:rPr>
        <w:t>Journal for the Education of the Gifted</w:t>
      </w:r>
      <w:r w:rsidRPr="00F40195">
        <w:rPr>
          <w:rFonts w:cs="Times New Roman"/>
        </w:rPr>
        <w:t xml:space="preserve"> </w:t>
      </w:r>
      <w:r w:rsidRPr="00F40195">
        <w:rPr>
          <w:rFonts w:cs="Times New Roman"/>
          <w:i/>
        </w:rPr>
        <w:t>19</w:t>
      </w:r>
      <w:r w:rsidRPr="00F40195">
        <w:rPr>
          <w:rFonts w:cs="Times New Roman"/>
        </w:rPr>
        <w:t>, 461–480.</w:t>
      </w:r>
    </w:p>
    <w:p w:rsidR="00513C41" w:rsidRPr="00F40195" w:rsidDel="00923202" w:rsidRDefault="00513C41" w:rsidP="00841252">
      <w:pPr>
        <w:spacing w:line="240" w:lineRule="auto"/>
        <w:ind w:left="720" w:hanging="720"/>
        <w:rPr>
          <w:rFonts w:cs="Times New Roman"/>
        </w:rPr>
      </w:pPr>
      <w:proofErr w:type="gramStart"/>
      <w:r w:rsidRPr="00F40195">
        <w:rPr>
          <w:rFonts w:cs="Times New Roman"/>
        </w:rPr>
        <w:t>VanTassel-Baska, J., Zuo, L., Avery, L.D., &amp; Little, C.A. (2002).</w:t>
      </w:r>
      <w:proofErr w:type="gramEnd"/>
      <w:r w:rsidRPr="00F40195">
        <w:rPr>
          <w:rFonts w:cs="Times New Roman"/>
        </w:rPr>
        <w:t xml:space="preserve"> </w:t>
      </w:r>
      <w:proofErr w:type="gramStart"/>
      <w:r w:rsidRPr="00F40195">
        <w:rPr>
          <w:rFonts w:cs="Times New Roman"/>
        </w:rPr>
        <w:t>A curriculum study of gifted student learning in the language arts.</w:t>
      </w:r>
      <w:proofErr w:type="gramEnd"/>
      <w:r w:rsidRPr="00F40195">
        <w:rPr>
          <w:rFonts w:cs="Times New Roman"/>
        </w:rPr>
        <w:t xml:space="preserve"> </w:t>
      </w:r>
      <w:proofErr w:type="gramStart"/>
      <w:r w:rsidRPr="00F40195">
        <w:rPr>
          <w:rFonts w:cs="Times New Roman"/>
          <w:i/>
        </w:rPr>
        <w:t>Gifted Child Quarterly, 46</w:t>
      </w:r>
      <w:r w:rsidRPr="00F40195">
        <w:rPr>
          <w:rFonts w:cs="Times New Roman"/>
        </w:rPr>
        <w:t>, 30–44.</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Verstegen, D. A. (2011)</w:t>
      </w:r>
      <w:r w:rsidR="009739FE" w:rsidRPr="00F40195">
        <w:rPr>
          <w:rFonts w:cs="Times New Roman"/>
        </w:rPr>
        <w:t>.</w:t>
      </w:r>
      <w:proofErr w:type="gramEnd"/>
      <w:r w:rsidR="009739FE" w:rsidRPr="00F40195">
        <w:rPr>
          <w:rFonts w:cs="Times New Roman"/>
        </w:rPr>
        <w:t xml:space="preserve"> </w:t>
      </w:r>
      <w:r w:rsidRPr="00F40195">
        <w:rPr>
          <w:rFonts w:cs="Times New Roman"/>
        </w:rPr>
        <w:t xml:space="preserve">Public education finance systems in the United States and funding policies for populations with special educational needs. </w:t>
      </w:r>
      <w:proofErr w:type="gramStart"/>
      <w:r w:rsidRPr="00F40195">
        <w:rPr>
          <w:rFonts w:cs="Times New Roman"/>
          <w:i/>
          <w:iCs/>
        </w:rPr>
        <w:t>Education Policy Analysis Archives</w:t>
      </w:r>
      <w:r w:rsidRPr="00F40195">
        <w:rPr>
          <w:rFonts w:cs="Times New Roman"/>
          <w:iCs/>
        </w:rPr>
        <w:t xml:space="preserve">, 19 </w:t>
      </w:r>
      <w:r w:rsidRPr="00F40195">
        <w:rPr>
          <w:rFonts w:cs="Times New Roman"/>
        </w:rPr>
        <w:t>(21).</w:t>
      </w:r>
      <w:proofErr w:type="gramEnd"/>
    </w:p>
    <w:p w:rsidR="00513C41" w:rsidRPr="00F40195" w:rsidRDefault="00513C41" w:rsidP="00841252">
      <w:pPr>
        <w:spacing w:line="240" w:lineRule="auto"/>
        <w:ind w:left="720" w:hanging="720"/>
        <w:rPr>
          <w:rFonts w:cs="Times New Roman"/>
        </w:rPr>
      </w:pPr>
      <w:proofErr w:type="gramStart"/>
      <w:r w:rsidRPr="00F40195">
        <w:rPr>
          <w:rFonts w:cs="Times New Roman"/>
        </w:rPr>
        <w:t>Wasik, Barbara, &amp; Slavin, Robert E. (1993).</w:t>
      </w:r>
      <w:proofErr w:type="gramEnd"/>
      <w:r w:rsidRPr="00F40195">
        <w:rPr>
          <w:rFonts w:cs="Times New Roman"/>
        </w:rPr>
        <w:t xml:space="preserve"> </w:t>
      </w:r>
      <w:proofErr w:type="gramStart"/>
      <w:r w:rsidRPr="00F40195">
        <w:rPr>
          <w:rFonts w:cs="Times New Roman"/>
        </w:rPr>
        <w:t>Preventing early reading failure with one-to-one tutoring: A review of five programs.</w:t>
      </w:r>
      <w:proofErr w:type="gramEnd"/>
      <w:r w:rsidRPr="00F40195">
        <w:rPr>
          <w:rFonts w:cs="Times New Roman"/>
        </w:rPr>
        <w:t xml:space="preserve"> </w:t>
      </w:r>
      <w:proofErr w:type="gramStart"/>
      <w:r w:rsidRPr="00F40195">
        <w:rPr>
          <w:rFonts w:cs="Times New Roman"/>
          <w:i/>
        </w:rPr>
        <w:t>Reading Research Quarterly, 28</w:t>
      </w:r>
      <w:r w:rsidRPr="00F40195">
        <w:rPr>
          <w:rFonts w:cs="Times New Roman"/>
        </w:rPr>
        <w:t>, 178-200.</w:t>
      </w:r>
      <w:proofErr w:type="gramEnd"/>
    </w:p>
    <w:p w:rsidR="00513C41" w:rsidRPr="00F40195" w:rsidRDefault="00513C41" w:rsidP="00841252">
      <w:pPr>
        <w:spacing w:line="240" w:lineRule="auto"/>
        <w:ind w:left="720" w:hanging="720"/>
        <w:rPr>
          <w:rFonts w:cs="Times New Roman"/>
        </w:rPr>
      </w:pPr>
      <w:r w:rsidRPr="00F40195">
        <w:rPr>
          <w:rFonts w:cs="Times New Roman"/>
        </w:rPr>
        <w:t xml:space="preserve">Wendling, Wayne. (1981b). </w:t>
      </w:r>
      <w:proofErr w:type="gramStart"/>
      <w:r w:rsidRPr="00F40195">
        <w:rPr>
          <w:rFonts w:cs="Times New Roman"/>
        </w:rPr>
        <w:t>The</w:t>
      </w:r>
      <w:proofErr w:type="gramEnd"/>
      <w:r w:rsidRPr="00F40195">
        <w:rPr>
          <w:rFonts w:cs="Times New Roman"/>
        </w:rPr>
        <w:t xml:space="preserve"> cost of education index: Measurement of price differences of education personnel among New York State school districts. </w:t>
      </w:r>
      <w:r w:rsidRPr="00F40195">
        <w:rPr>
          <w:rFonts w:cs="Times New Roman"/>
          <w:i/>
        </w:rPr>
        <w:t>Journal of Education Finance, 6</w:t>
      </w:r>
      <w:r w:rsidRPr="00F40195">
        <w:rPr>
          <w:rFonts w:cs="Times New Roman"/>
        </w:rPr>
        <w:t>(4), 485–504.</w:t>
      </w:r>
    </w:p>
    <w:p w:rsidR="00513C41" w:rsidRPr="00F40195" w:rsidRDefault="00513C41" w:rsidP="00841252">
      <w:pPr>
        <w:spacing w:line="240" w:lineRule="auto"/>
        <w:ind w:left="720" w:hanging="720"/>
        <w:rPr>
          <w:rFonts w:cs="Times New Roman"/>
        </w:rPr>
      </w:pPr>
      <w:r w:rsidRPr="00F40195">
        <w:rPr>
          <w:rFonts w:cs="Times New Roman"/>
        </w:rPr>
        <w:t xml:space="preserve">Whitebrook, Marcy. (2004). </w:t>
      </w:r>
      <w:r w:rsidRPr="00F40195">
        <w:rPr>
          <w:rFonts w:cs="Times New Roman"/>
          <w:i/>
        </w:rPr>
        <w:t>Bachelor’s degrees are best: Higher qualifications for pre-kindergarten teachers lead to better learning environments for children</w:t>
      </w:r>
      <w:r w:rsidRPr="00F40195">
        <w:rPr>
          <w:rFonts w:cs="Times New Roman"/>
        </w:rPr>
        <w:t>. Washington, DC: The Trust for Early Education.</w:t>
      </w:r>
    </w:p>
    <w:p w:rsidR="00513C41" w:rsidRPr="00F40195" w:rsidRDefault="00513C41" w:rsidP="00841252">
      <w:pPr>
        <w:spacing w:line="240" w:lineRule="auto"/>
        <w:ind w:left="720" w:hanging="720"/>
        <w:rPr>
          <w:rFonts w:cs="Times New Roman"/>
        </w:rPr>
      </w:pPr>
      <w:proofErr w:type="gramStart"/>
      <w:r w:rsidRPr="00F40195">
        <w:rPr>
          <w:rFonts w:cs="Times New Roman"/>
        </w:rPr>
        <w:t>Whitehurst, Grover J. “Russ,” &amp; Chingos, Matthew M. (2010).</w:t>
      </w:r>
      <w:proofErr w:type="gramEnd"/>
      <w:r w:rsidRPr="00F40195">
        <w:rPr>
          <w:rFonts w:cs="Times New Roman"/>
        </w:rPr>
        <w:t xml:space="preserve"> </w:t>
      </w:r>
      <w:r w:rsidRPr="00F40195">
        <w:rPr>
          <w:rFonts w:cs="Times New Roman"/>
          <w:i/>
        </w:rPr>
        <w:t xml:space="preserve">Class size: What research says and what it means for state policy. </w:t>
      </w:r>
      <w:r w:rsidRPr="00F40195">
        <w:rPr>
          <w:rFonts w:cs="Times New Roman"/>
        </w:rPr>
        <w:t xml:space="preserve">Washington, D.C.: The Brookings Institution. </w:t>
      </w:r>
    </w:p>
    <w:p w:rsidR="00513C41" w:rsidRPr="00F40195" w:rsidRDefault="00513C41" w:rsidP="00841252">
      <w:pPr>
        <w:autoSpaceDE w:val="0"/>
        <w:autoSpaceDN w:val="0"/>
        <w:adjustRightInd w:val="0"/>
        <w:spacing w:line="240" w:lineRule="auto"/>
        <w:ind w:left="720" w:hanging="720"/>
        <w:rPr>
          <w:rFonts w:cs="Times New Roman"/>
        </w:rPr>
      </w:pPr>
      <w:proofErr w:type="gramStart"/>
      <w:r w:rsidRPr="00F40195">
        <w:rPr>
          <w:rFonts w:cs="Times New Roman"/>
        </w:rPr>
        <w:t>Woolley, M. E., Rose, R. A., Orthner, D. K., Akos, P. T., &amp; Jones-Sanpei, H. (2013).</w:t>
      </w:r>
      <w:proofErr w:type="gramEnd"/>
      <w:r w:rsidRPr="00F40195">
        <w:rPr>
          <w:rFonts w:cs="Times New Roman"/>
        </w:rPr>
        <w:t xml:space="preserve"> </w:t>
      </w:r>
      <w:proofErr w:type="gramStart"/>
      <w:r w:rsidRPr="00F40195">
        <w:rPr>
          <w:rFonts w:cs="Times New Roman"/>
        </w:rPr>
        <w:t>Advancing academic achievement through career relevance in the middle grades: A longitudinal evaluation of CareerStart.</w:t>
      </w:r>
      <w:proofErr w:type="gramEnd"/>
      <w:r w:rsidRPr="00F40195">
        <w:rPr>
          <w:rFonts w:cs="Times New Roman"/>
        </w:rPr>
        <w:t xml:space="preserve"> American Educational Research Journal, 1309-1335.</w:t>
      </w:r>
    </w:p>
    <w:p w:rsidR="00513C41" w:rsidRPr="00F40195" w:rsidRDefault="00513C41" w:rsidP="00841252">
      <w:pPr>
        <w:spacing w:line="240" w:lineRule="auto"/>
        <w:ind w:left="720" w:hanging="720"/>
        <w:rPr>
          <w:rFonts w:cs="Times New Roman"/>
        </w:rPr>
      </w:pPr>
      <w:r w:rsidRPr="00F40195">
        <w:rPr>
          <w:rFonts w:cs="Times New Roman"/>
        </w:rPr>
        <w:t xml:space="preserve">Word, Elizabeth, Johnston, John, Bain, Helen, Fulton, B. DeWaynbe, Boyd-Zaharias, Jane, Lintz, Maria Nan, Achilles, Charles M., Folger, John, &amp; Breda, Carolyn. (1990). </w:t>
      </w:r>
      <w:r w:rsidRPr="00F40195">
        <w:rPr>
          <w:rFonts w:cs="Times New Roman"/>
          <w:i/>
          <w:iCs/>
        </w:rPr>
        <w:t xml:space="preserve">Student/teacher achievement ratio (STAR): Tennessee’s K-3 class-size study. </w:t>
      </w:r>
      <w:r w:rsidRPr="00F40195">
        <w:rPr>
          <w:rFonts w:cs="Times New Roman"/>
        </w:rPr>
        <w:t>Nashville, TN: Tennessee State Department of Education.</w:t>
      </w:r>
    </w:p>
    <w:p w:rsidR="00513C41" w:rsidRPr="00F40195" w:rsidRDefault="00513C41" w:rsidP="00841252">
      <w:pPr>
        <w:spacing w:line="240" w:lineRule="auto"/>
        <w:ind w:left="720" w:hanging="720"/>
        <w:rPr>
          <w:rFonts w:cs="Times New Roman"/>
        </w:rPr>
      </w:pPr>
      <w:proofErr w:type="gramStart"/>
      <w:r w:rsidRPr="00F40195">
        <w:rPr>
          <w:rFonts w:cs="Times New Roman"/>
        </w:rPr>
        <w:t>Wright, P. Sander, Horn, Sharon P., &amp; Sanders, William L. (1997).</w:t>
      </w:r>
      <w:proofErr w:type="gramEnd"/>
      <w:r w:rsidRPr="00F40195">
        <w:rPr>
          <w:rFonts w:cs="Times New Roman"/>
        </w:rPr>
        <w:t xml:space="preserve"> Teacher and classroom context effects on student achievement: Implications for teacher evaluation. </w:t>
      </w:r>
      <w:r w:rsidRPr="00F40195">
        <w:rPr>
          <w:rFonts w:cs="Times New Roman"/>
          <w:i/>
        </w:rPr>
        <w:t>Journal of Personnel Evaluation in Education, 11</w:t>
      </w:r>
      <w:r w:rsidRPr="00F40195">
        <w:rPr>
          <w:rFonts w:cs="Times New Roman"/>
        </w:rPr>
        <w:t>(1), 57–67.</w:t>
      </w:r>
    </w:p>
    <w:p w:rsidR="00513C41" w:rsidRPr="00F40195" w:rsidRDefault="00513C41" w:rsidP="00841252">
      <w:pPr>
        <w:autoSpaceDE w:val="0"/>
        <w:autoSpaceDN w:val="0"/>
        <w:adjustRightInd w:val="0"/>
        <w:spacing w:line="240" w:lineRule="auto"/>
        <w:ind w:left="720" w:hanging="720"/>
        <w:rPr>
          <w:rFonts w:cs="Times New Roman"/>
        </w:rPr>
      </w:pPr>
      <w:r w:rsidRPr="00F40195">
        <w:rPr>
          <w:rFonts w:cs="Times New Roman"/>
        </w:rPr>
        <w:t xml:space="preserve">Youngs, Peter, Odden, Allan, &amp; Porter, Andrew. </w:t>
      </w:r>
      <w:proofErr w:type="gramStart"/>
      <w:r w:rsidRPr="00F40195">
        <w:rPr>
          <w:rFonts w:cs="Times New Roman"/>
        </w:rPr>
        <w:t>(2003). State policy related to teacher Licensure.</w:t>
      </w:r>
      <w:proofErr w:type="gramEnd"/>
      <w:r w:rsidRPr="00F40195">
        <w:rPr>
          <w:rFonts w:cs="Times New Roman"/>
        </w:rPr>
        <w:t xml:space="preserve"> </w:t>
      </w:r>
      <w:r w:rsidRPr="00F40195">
        <w:rPr>
          <w:rFonts w:cs="Times New Roman"/>
          <w:i/>
          <w:iCs/>
        </w:rPr>
        <w:t>Educational Policy, 17</w:t>
      </w:r>
      <w:r w:rsidRPr="00F40195">
        <w:rPr>
          <w:rFonts w:cs="Times New Roman"/>
        </w:rPr>
        <w:t xml:space="preserve">(2), 217-236. </w:t>
      </w:r>
    </w:p>
    <w:p w:rsidR="00E006EB" w:rsidRPr="00BA288C" w:rsidRDefault="00513C41" w:rsidP="00BA288C">
      <w:pPr>
        <w:spacing w:line="240" w:lineRule="auto"/>
        <w:ind w:left="720" w:hanging="720"/>
        <w:rPr>
          <w:rFonts w:cs="Times New Roman"/>
        </w:rPr>
      </w:pPr>
      <w:r w:rsidRPr="00F40195">
        <w:rPr>
          <w:rFonts w:cs="Times New Roman"/>
        </w:rPr>
        <w:t xml:space="preserve">Zureich, Mike (1998). </w:t>
      </w:r>
      <w:r w:rsidRPr="00F40195">
        <w:rPr>
          <w:rFonts w:cs="Times New Roman"/>
          <w:i/>
        </w:rPr>
        <w:t>CASBO: Staffing formula hoax</w:t>
      </w:r>
      <w:r w:rsidRPr="00F40195">
        <w:rPr>
          <w:rFonts w:cs="Times New Roman"/>
        </w:rPr>
        <w:t xml:space="preserve">. Pleasanton, CA: Research and Development Committee, California Association of School Business Officials. </w:t>
      </w:r>
      <w:proofErr w:type="gramStart"/>
      <w:r w:rsidRPr="00F40195">
        <w:rPr>
          <w:rFonts w:cs="Times New Roman"/>
        </w:rPr>
        <w:t>#0902.</w:t>
      </w:r>
      <w:proofErr w:type="gramEnd"/>
    </w:p>
    <w:p w:rsidR="00A763C9" w:rsidRPr="00F40195" w:rsidRDefault="00A763C9" w:rsidP="007162A8">
      <w:pPr>
        <w:pStyle w:val="Heading1"/>
      </w:pPr>
    </w:p>
    <w:p w:rsidR="00A763C9" w:rsidRPr="00F40195" w:rsidRDefault="00A763C9" w:rsidP="00841252">
      <w:pPr>
        <w:spacing w:line="240" w:lineRule="auto"/>
        <w:rPr>
          <w:rFonts w:eastAsia="Times New Roman" w:cs="Times New Roman"/>
          <w:b/>
          <w:bCs/>
          <w:caps/>
          <w:szCs w:val="24"/>
        </w:rPr>
      </w:pPr>
      <w:r w:rsidRPr="00F40195">
        <w:rPr>
          <w:rFonts w:cs="Times New Roman"/>
          <w:szCs w:val="24"/>
        </w:rPr>
        <w:br w:type="page"/>
      </w:r>
    </w:p>
    <w:p w:rsidR="00A763C9" w:rsidRPr="00F40195" w:rsidRDefault="00E006EB" w:rsidP="00934234">
      <w:pPr>
        <w:pStyle w:val="Heading1"/>
      </w:pPr>
      <w:bookmarkStart w:id="127" w:name="_Toc395180712"/>
      <w:r w:rsidRPr="00F40195">
        <w:lastRenderedPageBreak/>
        <w:t xml:space="preserve">APPENDIX </w:t>
      </w:r>
      <w:r w:rsidR="00F75091" w:rsidRPr="00F40195">
        <w:t>A</w:t>
      </w:r>
      <w:r w:rsidR="00934234">
        <w:t xml:space="preserve">:  </w:t>
      </w:r>
      <w:r w:rsidR="00D200A3">
        <w:t>Additional Information on Components</w:t>
      </w:r>
      <w:bookmarkEnd w:id="127"/>
    </w:p>
    <w:p w:rsidR="00E006EB" w:rsidRPr="00F40195" w:rsidRDefault="00E006EB" w:rsidP="007162A8">
      <w:pPr>
        <w:pStyle w:val="Heading2"/>
      </w:pPr>
      <w:bookmarkStart w:id="128" w:name="_Toc395180713"/>
      <w:r w:rsidRPr="00F40195">
        <w:t>Career and Technical Education</w:t>
      </w:r>
      <w:bookmarkEnd w:id="128"/>
    </w:p>
    <w:p w:rsidR="00E006EB" w:rsidRPr="00F40195" w:rsidRDefault="00E006EB" w:rsidP="00F40195">
      <w:pPr>
        <w:spacing w:line="240" w:lineRule="auto"/>
        <w:rPr>
          <w:rFonts w:cs="Times New Roman"/>
          <w:szCs w:val="24"/>
        </w:rPr>
      </w:pPr>
      <w:r w:rsidRPr="00F40195">
        <w:rPr>
          <w:rFonts w:cs="Times New Roman"/>
          <w:szCs w:val="24"/>
        </w:rPr>
        <w:t>Vocational education, or its modern term, Career and Technical Education (CTE), has been experiencing a shift in focus for the past several years. Traditional vocational education focused on practical, applied skills needed for wood and metal-working, automobile mechanics, typing and other office assistance careers, including home economics. Today, many argue that vo-tech is info-tech, nano-tech, bio-tech, and health-tech. The argument is that Career and Technical education should begin to incorporate courses that provide students with applied skills for new work positions in the growing and higher wage economy including information technologies (such as computer network management), engineering (such as computer-assisted design), a wide range of jobs in the expanding health portions of the economy and bio-technical positions – all of which can be entered directly from high school. The American College Testing Company and many policymakers have concluded that the knowledge, skills and competencies needed for college are quite similar to those needed for work in the higher-wage, growing jobs of the evolving economy.</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t>One key issue is the cost of these programs. Many districts and states believe that these new career-technical programs cost more than the regular program and even more than traditional vocational classes. However, in a review conducted for a Wisconsin school finance adequacy task force, a national expert (Phelps, 2006) concluded that the best of the new career-technical programs did not cost more, according to a finance adequacy review, especially if the district and state made adequate provisions for professional development and computer technologies (Phelps, 2006). These conclusions generally were confirmed by a cost analysis (Odden &amp; Picus, 2010) of Project Lead the Way (PLTW), one of the most highly rated and “expensive” career technical programs in the country.</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bCs/>
          <w:szCs w:val="24"/>
        </w:rPr>
      </w:pPr>
      <w:r w:rsidRPr="00F40195">
        <w:rPr>
          <w:rFonts w:cs="Times New Roman"/>
          <w:szCs w:val="24"/>
        </w:rPr>
        <w:t>PLTW (</w:t>
      </w:r>
      <w:hyperlink r:id="rId59" w:history="1">
        <w:r w:rsidRPr="00F40195">
          <w:rPr>
            <w:rStyle w:val="Hyperlink"/>
            <w:rFonts w:cs="Times New Roman"/>
            <w:b/>
            <w:szCs w:val="24"/>
          </w:rPr>
          <w:t>www.pltw.org</w:t>
        </w:r>
      </w:hyperlink>
      <w:r w:rsidRPr="00F40195">
        <w:rPr>
          <w:rFonts w:cs="Times New Roman"/>
          <w:szCs w:val="24"/>
        </w:rPr>
        <w:t xml:space="preserve">) is a nationally recognized exemplar for secondary CTE education. Often implemented jointly with local postsecondary education institutions and employer advisory groups, these programs usually feature project- or problem-based learning experiences, career planning and guidance services, and technical and/or academic skills assessments. Through hands-on learning, the program is designed to develop the science, technology, engineering and mathematics skills essential for achievement in the classroom and success in college or jobs not requiring a four-year college education. As of 2010, </w:t>
      </w:r>
      <w:r w:rsidRPr="00F40195">
        <w:rPr>
          <w:rFonts w:cs="Times New Roman"/>
          <w:bCs/>
          <w:szCs w:val="24"/>
        </w:rPr>
        <w:t>PLTW was offered in more than 3,000 high schools in all 50 states and enrolled over 350,000 students.</w:t>
      </w:r>
    </w:p>
    <w:p w:rsidR="00E006EB" w:rsidRPr="00F40195" w:rsidRDefault="00E006EB" w:rsidP="00F40195">
      <w:pPr>
        <w:spacing w:line="240" w:lineRule="auto"/>
        <w:rPr>
          <w:rFonts w:cs="Times New Roman"/>
          <w:bCs/>
          <w:szCs w:val="24"/>
        </w:rPr>
      </w:pPr>
    </w:p>
    <w:p w:rsidR="00E006EB" w:rsidRPr="00934234" w:rsidRDefault="00E006EB" w:rsidP="00934234">
      <w:pPr>
        <w:spacing w:line="240" w:lineRule="auto"/>
        <w:rPr>
          <w:rFonts w:cs="Times New Roman"/>
          <w:bCs/>
          <w:szCs w:val="24"/>
        </w:rPr>
      </w:pPr>
      <w:r w:rsidRPr="00F40195">
        <w:rPr>
          <w:rFonts w:cs="Times New Roman"/>
          <w:bCs/>
          <w:szCs w:val="24"/>
        </w:rPr>
        <w:t>The curriculum features rigorous, in-depth learning experiences delivered by certified teachers and end-of-course assessments. High-scoring students earn college credit recognized in more than 100 affiliated postsecondary institutions. Courses focus on engineering foundations (design, principles, and digital electronics) and specializations (e.g., architectural and civil engineering, bio-technical engineering) that provide students with career and college readiness competencies in engineering and science.  Students need to take math through Algebra 2 in order to handle the courses in the program, which also meets many states’ requirements for science</w:t>
      </w:r>
      <w:r w:rsidR="00934234">
        <w:rPr>
          <w:rFonts w:cs="Times New Roman"/>
          <w:bCs/>
          <w:szCs w:val="24"/>
        </w:rPr>
        <w:t xml:space="preserve"> and other mathematics classes.</w:t>
      </w:r>
    </w:p>
    <w:p w:rsidR="00E006EB" w:rsidRPr="00F40195" w:rsidRDefault="00E006EB" w:rsidP="007162A8">
      <w:pPr>
        <w:pStyle w:val="Heading2"/>
      </w:pPr>
      <w:bookmarkStart w:id="129" w:name="_Toc395180714"/>
      <w:r w:rsidRPr="00F40195">
        <w:lastRenderedPageBreak/>
        <w:t>Professional Development</w:t>
      </w:r>
      <w:bookmarkEnd w:id="129"/>
    </w:p>
    <w:p w:rsidR="00E006EB" w:rsidRPr="00F40195" w:rsidRDefault="00E006EB" w:rsidP="00F40195">
      <w:pPr>
        <w:spacing w:line="240" w:lineRule="auto"/>
        <w:rPr>
          <w:rFonts w:cs="Times New Roman"/>
          <w:szCs w:val="24"/>
        </w:rPr>
      </w:pPr>
      <w:r w:rsidRPr="00F40195">
        <w:rPr>
          <w:rFonts w:cs="Times New Roman"/>
          <w:szCs w:val="24"/>
        </w:rPr>
        <w:t>An ongoing, comprehensive and systemic professional development program is the way in which all the resources recommended in this report are transformed into high quality instruction that increases student learning. Further, though the key focus of professional development is for better instruction in the core subjects of mathematics, reading/language arts, history and science, the professional development resources by the EB model are adequate to address the instructional needs for gifted and talented and English language learning students, for embedding technology in the curriculum, and for specialist teachers as well. Finally, all beginning teachers need intensive professional development, first in classroom management, organization and student discipline, and then in instruction.</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t>There is recent and substantial research on effective professional development and its costs (e.g., Crow, 2011; Odden, 2011b). Effective professional development is defined as professional development that produces change in teachers’ classroom-based instructional practice that can be linked to improvements in student learning. The practices and principles researchers and professional development organizations use to characterize “high quality” or “effective” professional development draw upon a series of empirical research studies that linked program strategies to changes in teachers’ instructional practice and subsequent increases in student achievement. Combined, these studies and recent reports from Learning Forward, the national organization focused on professional development (see Crow, 2011), identified six structural features of effective professional development: form, duration, collective participation, content focus, active learning, and coherence.</w:t>
      </w:r>
    </w:p>
    <w:p w:rsidR="00E006EB" w:rsidRPr="00F40195" w:rsidRDefault="00E006EB" w:rsidP="00F40195">
      <w:pPr>
        <w:spacing w:line="240" w:lineRule="auto"/>
        <w:rPr>
          <w:rFonts w:cs="Times New Roman"/>
          <w:szCs w:val="24"/>
        </w:rPr>
      </w:pPr>
    </w:p>
    <w:p w:rsidR="00E006EB" w:rsidRPr="00F40195" w:rsidRDefault="00E006EB" w:rsidP="00F40195">
      <w:pPr>
        <w:pStyle w:val="ListParagraph"/>
        <w:numPr>
          <w:ilvl w:val="0"/>
          <w:numId w:val="18"/>
        </w:numPr>
        <w:spacing w:line="240" w:lineRule="auto"/>
        <w:rPr>
          <w:rFonts w:cs="Times New Roman"/>
          <w:b/>
          <w:bCs/>
          <w:szCs w:val="24"/>
        </w:rPr>
      </w:pPr>
      <w:r w:rsidRPr="00F40195">
        <w:rPr>
          <w:rFonts w:cs="Times New Roman"/>
          <w:szCs w:val="24"/>
        </w:rPr>
        <w:t xml:space="preserve">The </w:t>
      </w:r>
      <w:r w:rsidRPr="00F40195">
        <w:rPr>
          <w:rFonts w:cs="Times New Roman"/>
          <w:i/>
          <w:szCs w:val="24"/>
        </w:rPr>
        <w:t>form</w:t>
      </w:r>
      <w:r w:rsidRPr="00F40195">
        <w:rPr>
          <w:rFonts w:cs="Times New Roman"/>
          <w:szCs w:val="24"/>
        </w:rPr>
        <w:t xml:space="preserve"> of the activity – that is, whether the activity is organized as a study group, teacher network, mentoring collaborative, committee or curriculum development group. The above research suggests that effective professional development should be school-based, job-embedded and focused on the curriculum taught rather than a one-day workshop.</w:t>
      </w:r>
    </w:p>
    <w:p w:rsidR="00E006EB" w:rsidRPr="00F40195" w:rsidRDefault="00E006EB" w:rsidP="00F40195">
      <w:pPr>
        <w:pStyle w:val="ListParagraph"/>
        <w:numPr>
          <w:ilvl w:val="0"/>
          <w:numId w:val="18"/>
        </w:numPr>
        <w:spacing w:line="240" w:lineRule="auto"/>
        <w:rPr>
          <w:rFonts w:cs="Times New Roman"/>
          <w:b/>
          <w:bCs/>
          <w:szCs w:val="24"/>
        </w:rPr>
      </w:pPr>
      <w:r w:rsidRPr="00F40195">
        <w:rPr>
          <w:rFonts w:cs="Times New Roman"/>
          <w:szCs w:val="24"/>
        </w:rPr>
        <w:t xml:space="preserve">The </w:t>
      </w:r>
      <w:r w:rsidRPr="00F40195">
        <w:rPr>
          <w:rFonts w:cs="Times New Roman"/>
          <w:i/>
          <w:szCs w:val="24"/>
        </w:rPr>
        <w:t>duration</w:t>
      </w:r>
      <w:r w:rsidRPr="00F40195">
        <w:rPr>
          <w:rFonts w:cs="Times New Roman"/>
          <w:szCs w:val="24"/>
        </w:rPr>
        <w:t xml:space="preserve"> of the activity, including the total number of contact hours that participants are expected to spend in the activity, as well as the span of time over which the activity takes place. The above research has shown the importance of continuous, ongoing, long-term professional development that totals a substantial number of hours each year, at least 100 hours and closer to 200 hours.</w:t>
      </w:r>
    </w:p>
    <w:p w:rsidR="00E006EB" w:rsidRPr="00F40195" w:rsidRDefault="00E006EB" w:rsidP="00F40195">
      <w:pPr>
        <w:pStyle w:val="ListParagraph"/>
        <w:numPr>
          <w:ilvl w:val="0"/>
          <w:numId w:val="18"/>
        </w:numPr>
        <w:spacing w:line="240" w:lineRule="auto"/>
        <w:rPr>
          <w:rFonts w:cs="Times New Roman"/>
          <w:b/>
          <w:bCs/>
          <w:szCs w:val="24"/>
        </w:rPr>
      </w:pPr>
      <w:r w:rsidRPr="00F40195">
        <w:rPr>
          <w:rFonts w:cs="Times New Roman"/>
          <w:szCs w:val="24"/>
        </w:rPr>
        <w:t xml:space="preserve">The degree to which the activity emphasizes the </w:t>
      </w:r>
      <w:r w:rsidRPr="00F40195">
        <w:rPr>
          <w:rFonts w:cs="Times New Roman"/>
          <w:i/>
          <w:szCs w:val="24"/>
        </w:rPr>
        <w:t>collective participation</w:t>
      </w:r>
      <w:r w:rsidRPr="00F40195">
        <w:rPr>
          <w:rFonts w:cs="Times New Roman"/>
          <w:szCs w:val="24"/>
        </w:rPr>
        <w:t xml:space="preserve"> of teachers from the same school, department, or grade level. The above research suggests that effective professional development should be organized around groups of teachers from a school that over time includes the entire faculty</w:t>
      </w:r>
    </w:p>
    <w:p w:rsidR="00E006EB" w:rsidRPr="00F40195" w:rsidRDefault="00E006EB" w:rsidP="00F40195">
      <w:pPr>
        <w:pStyle w:val="ListParagraph"/>
        <w:numPr>
          <w:ilvl w:val="0"/>
          <w:numId w:val="18"/>
        </w:numPr>
        <w:spacing w:line="240" w:lineRule="auto"/>
        <w:rPr>
          <w:rFonts w:cs="Times New Roman"/>
          <w:b/>
          <w:bCs/>
          <w:szCs w:val="24"/>
        </w:rPr>
      </w:pPr>
      <w:r w:rsidRPr="00F40195">
        <w:rPr>
          <w:rFonts w:cs="Times New Roman"/>
          <w:szCs w:val="24"/>
        </w:rPr>
        <w:t xml:space="preserve">The degree to which the activity has a </w:t>
      </w:r>
      <w:r w:rsidRPr="00F40195">
        <w:rPr>
          <w:rFonts w:cs="Times New Roman"/>
          <w:i/>
          <w:szCs w:val="24"/>
        </w:rPr>
        <w:t>content focus</w:t>
      </w:r>
      <w:r w:rsidRPr="00F40195">
        <w:rPr>
          <w:rFonts w:cs="Times New Roman"/>
          <w:szCs w:val="24"/>
        </w:rPr>
        <w:t xml:space="preserve"> – that is, the degree to which the activity is focused on improving and deepening teachers’ content knowledge as well as how students learn that content. The above research concludes that teachers need to know well the content they teach, need to know common student miscues or problems students typically have learning that content, and effective instructional strategies linking the two.</w:t>
      </w:r>
    </w:p>
    <w:p w:rsidR="00E006EB" w:rsidRPr="00F40195" w:rsidRDefault="00E006EB" w:rsidP="00F40195">
      <w:pPr>
        <w:pStyle w:val="ListParagraph"/>
        <w:numPr>
          <w:ilvl w:val="0"/>
          <w:numId w:val="18"/>
        </w:numPr>
        <w:spacing w:line="240" w:lineRule="auto"/>
        <w:rPr>
          <w:rFonts w:cs="Times New Roman"/>
          <w:b/>
          <w:bCs/>
          <w:szCs w:val="24"/>
        </w:rPr>
      </w:pPr>
      <w:r w:rsidRPr="00F40195">
        <w:rPr>
          <w:rFonts w:cs="Times New Roman"/>
          <w:szCs w:val="24"/>
        </w:rPr>
        <w:t xml:space="preserve">The extent to which the activity offers opportunities for </w:t>
      </w:r>
      <w:r w:rsidRPr="00F40195">
        <w:rPr>
          <w:rFonts w:cs="Times New Roman"/>
          <w:i/>
          <w:szCs w:val="24"/>
        </w:rPr>
        <w:t>active learning</w:t>
      </w:r>
      <w:r w:rsidRPr="00F40195">
        <w:rPr>
          <w:rFonts w:cs="Times New Roman"/>
          <w:szCs w:val="24"/>
        </w:rPr>
        <w:t xml:space="preserve">, such as opportunities for teachers to become engaged in the meaningful analysis of teaching and learning; for </w:t>
      </w:r>
      <w:r w:rsidRPr="00F40195">
        <w:rPr>
          <w:rFonts w:cs="Times New Roman"/>
          <w:szCs w:val="24"/>
        </w:rPr>
        <w:lastRenderedPageBreak/>
        <w:t>example, by scoring student work or developing, refining and implementing a standards-based curriculum unit. The above research has shown that professional development is most effective when it includes opportunities for teachers to work directly on incorporating the new techniques into their instructional practice (see also Joyce &amp; Showers, 2002).</w:t>
      </w:r>
    </w:p>
    <w:p w:rsidR="00E006EB" w:rsidRPr="00F40195" w:rsidRDefault="00E006EB" w:rsidP="00F40195">
      <w:pPr>
        <w:pStyle w:val="ListParagraph"/>
        <w:numPr>
          <w:ilvl w:val="0"/>
          <w:numId w:val="18"/>
        </w:numPr>
        <w:spacing w:line="240" w:lineRule="auto"/>
        <w:rPr>
          <w:rFonts w:cs="Times New Roman"/>
          <w:b/>
          <w:bCs/>
          <w:szCs w:val="24"/>
        </w:rPr>
      </w:pPr>
      <w:r w:rsidRPr="00F40195">
        <w:rPr>
          <w:rFonts w:cs="Times New Roman"/>
          <w:szCs w:val="24"/>
        </w:rPr>
        <w:t xml:space="preserve">The degree to which the activity promotes </w:t>
      </w:r>
      <w:r w:rsidRPr="00F40195">
        <w:rPr>
          <w:rFonts w:cs="Times New Roman"/>
          <w:i/>
          <w:szCs w:val="24"/>
        </w:rPr>
        <w:t>coherence</w:t>
      </w:r>
      <w:r w:rsidRPr="00F40195">
        <w:rPr>
          <w:rFonts w:cs="Times New Roman"/>
          <w:szCs w:val="24"/>
        </w:rPr>
        <w:t xml:space="preserve"> in teachers’ professional development, by aligning professional development to other key parts of the education system such as student content and performance standards, teacher evaluation, school and district goals, and the development of a professional community. The above research supports tying professional development to a comprehensive, inter-related change process focused on improving student learning.</w:t>
      </w:r>
    </w:p>
    <w:p w:rsidR="00E006EB" w:rsidRPr="00F40195" w:rsidRDefault="00E006EB" w:rsidP="00F40195">
      <w:pPr>
        <w:pStyle w:val="ListParagraph"/>
        <w:spacing w:line="240" w:lineRule="auto"/>
        <w:ind w:left="360"/>
        <w:rPr>
          <w:rFonts w:cs="Times New Roman"/>
          <w:b/>
          <w:bCs/>
          <w:szCs w:val="24"/>
        </w:rPr>
      </w:pPr>
    </w:p>
    <w:p w:rsidR="00E006EB" w:rsidRPr="00F40195" w:rsidRDefault="00E006EB" w:rsidP="00F40195">
      <w:pPr>
        <w:spacing w:line="240" w:lineRule="auto"/>
        <w:rPr>
          <w:rFonts w:cs="Times New Roman"/>
          <w:szCs w:val="24"/>
        </w:rPr>
      </w:pPr>
      <w:r w:rsidRPr="00F40195">
        <w:rPr>
          <w:rFonts w:cs="Times New Roman"/>
          <w:szCs w:val="24"/>
        </w:rPr>
        <w:t>Form, duration, and active learning together imply that effective professional development includes some initial learning (</w:t>
      </w:r>
      <w:r w:rsidRPr="00F40195">
        <w:rPr>
          <w:rFonts w:cs="Times New Roman"/>
          <w:i/>
          <w:szCs w:val="24"/>
        </w:rPr>
        <w:t>e.g</w:t>
      </w:r>
      <w:r w:rsidRPr="00F40195">
        <w:rPr>
          <w:rFonts w:cs="Times New Roman"/>
          <w:szCs w:val="24"/>
        </w:rPr>
        <w:t>. a two-week – 10 day – summer training institute) as well as considerable longer-term work in which teachers incorporate the new methodologies into their actual classroom practice. Active learning implies some degree of collaborative work and coaching during regular school hours to help the teacher incorporate new strategies in his/her normal instructional practices</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t>It should be clear that the longer the duration, and the more the coaching, the more time is required of teachers as well as professional development trainers and coaches.</w:t>
      </w:r>
    </w:p>
    <w:p w:rsidR="00E006EB" w:rsidRPr="00F40195" w:rsidRDefault="00E006EB" w:rsidP="00F40195">
      <w:pPr>
        <w:spacing w:line="240" w:lineRule="auto"/>
        <w:rPr>
          <w:rFonts w:cs="Times New Roman"/>
          <w:szCs w:val="24"/>
        </w:rPr>
      </w:pPr>
      <w:r w:rsidRPr="00F40195">
        <w:rPr>
          <w:rFonts w:cs="Times New Roman"/>
          <w:szCs w:val="24"/>
        </w:rPr>
        <w:t>Content focus means that effective professional development focuses largely on subject matter knowledge, what is known about how students learn that subject, and the actual curriculum that is used in the school to teach this content. Collective participation implies that the best professional development includes groups of and at some point all teachers in a school, who then work together to implement the new strategies, engage in data-based decision making (Carlson, Borman &amp; Robinson, 2011) and in the process, help build a professional school community</w:t>
      </w:r>
    </w:p>
    <w:p w:rsidR="00E006EB" w:rsidRPr="00F40195" w:rsidRDefault="00E006EB" w:rsidP="00F40195">
      <w:pPr>
        <w:spacing w:line="240" w:lineRule="auto"/>
        <w:rPr>
          <w:rFonts w:cs="Times New Roman"/>
          <w:szCs w:val="24"/>
        </w:rPr>
      </w:pPr>
      <w:r w:rsidRPr="00F40195">
        <w:rPr>
          <w:rFonts w:cs="Times New Roman"/>
          <w:szCs w:val="24"/>
        </w:rPr>
        <w:t>Coherence suggests that the professional development is more effective when the signals from the policy environment (federal, state, district, and school) reinforce rather than contradict one another or send multiple, confusing messages. Coherence also implies that professional development opportunities should be given as part of implementation of new curriculum and instructional approaches. Note that there is little support in this research for the development of individually oriented professional development plans; the research implies a much more systemic approach.</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t>Form, duration, collective participation, and active learning require various amounts of both teacher and trainer/coach/mentor time, during the regular school day and year and, depending on the specific strategies, outside of the regular day and year as well. This time costs money. Further, all professional development strategies require some amount of administration, materials and supplies, and miscellaneous financial support for travel and fees. Both the above programmatic features and the specifics of their cost implications are helpful to comprehensively describe specific professional development programs and their related resource needs.</w:t>
      </w:r>
    </w:p>
    <w:p w:rsidR="00E006EB" w:rsidRPr="00F40195" w:rsidRDefault="00E006EB" w:rsidP="00F40195">
      <w:pPr>
        <w:spacing w:line="240" w:lineRule="auto"/>
        <w:rPr>
          <w:rFonts w:cs="Times New Roman"/>
          <w:bCs/>
          <w:szCs w:val="24"/>
        </w:rPr>
      </w:pPr>
    </w:p>
    <w:p w:rsidR="00E006EB" w:rsidRPr="00F40195" w:rsidRDefault="00E006EB" w:rsidP="007162A8">
      <w:pPr>
        <w:pStyle w:val="Heading2"/>
      </w:pPr>
      <w:bookmarkStart w:id="130" w:name="_Toc395180715"/>
      <w:r w:rsidRPr="00F40195">
        <w:lastRenderedPageBreak/>
        <w:t>Instructional Materials</w:t>
      </w:r>
      <w:bookmarkEnd w:id="130"/>
    </w:p>
    <w:p w:rsidR="00E006EB" w:rsidRPr="00F40195" w:rsidRDefault="00E006EB" w:rsidP="00F40195">
      <w:pPr>
        <w:spacing w:line="240" w:lineRule="auto"/>
        <w:rPr>
          <w:rFonts w:cs="Times New Roman"/>
          <w:szCs w:val="24"/>
        </w:rPr>
      </w:pPr>
      <w:r w:rsidRPr="00F40195">
        <w:rPr>
          <w:rFonts w:cs="Times New Roman"/>
          <w:szCs w:val="24"/>
        </w:rPr>
        <w:t>The need for up-to-date instructional materials is paramount. Newer materials contain more accurate information and incorporate the most contemporary pedagogical approaches. To ensure that materials are current, twenty states have instituted adoption cycles in which they specify or recommend texts that are aligned to state learning standards (Ratvitch, 2004). Up-to-date instructional materials are expensive, but vital to the learning process. Researchers estimate that up to 90 percent of classroom activities are driven by textbooks and textbook content (Ravitch, 2004). Adoption cycles with state funding attached allow districts to upgrade their texts on an ongoing basis instead of allowing these expenditures to be postponed indefinitely.</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t>The type and cost of textbooks and other instructional materials differ across elementary, middle school, and high school levels. Textbooks are more complex and thus more expensive at the upper grades and less expensive at the elementary level. Elementary grades, on the other hand, use more workbooks, worksheets and other consumables than the upper grades. Both elementary and upper grades require extensive pedagogical aides such as math manipulatives and science supplies that help teachers to demonstrate or present concepts using different pedagogical approaches. As school budgets for instructional supplies have tightened in the past, consumables and pedagogical aides have typically been the first items to be cut as teachers have been forced to make due or to purchase materials out of their own pockets.</w:t>
      </w:r>
    </w:p>
    <w:p w:rsidR="00E006EB" w:rsidRPr="00F40195" w:rsidRDefault="00E006EB" w:rsidP="00F40195">
      <w:pPr>
        <w:spacing w:line="240" w:lineRule="auto"/>
        <w:rPr>
          <w:rFonts w:cs="Times New Roman"/>
          <w:bCs/>
          <w:szCs w:val="24"/>
        </w:rPr>
      </w:pPr>
    </w:p>
    <w:p w:rsidR="00E006EB" w:rsidRPr="00F40195" w:rsidRDefault="00E006EB" w:rsidP="00F40195">
      <w:pPr>
        <w:spacing w:line="240" w:lineRule="auto"/>
        <w:rPr>
          <w:rFonts w:cs="Times New Roman"/>
          <w:szCs w:val="24"/>
        </w:rPr>
      </w:pPr>
      <w:proofErr w:type="gramStart"/>
      <w:r w:rsidRPr="00F40195">
        <w:rPr>
          <w:rFonts w:cs="Times New Roman"/>
          <w:szCs w:val="24"/>
          <w:u w:val="single"/>
        </w:rPr>
        <w:t>Short cycle, formative assessments</w:t>
      </w:r>
      <w:r w:rsidRPr="00F40195">
        <w:rPr>
          <w:rFonts w:cs="Times New Roman"/>
          <w:szCs w:val="24"/>
        </w:rPr>
        <w:t>.</w:t>
      </w:r>
      <w:proofErr w:type="gramEnd"/>
      <w:r w:rsidRPr="00F40195">
        <w:rPr>
          <w:rFonts w:cs="Times New Roman"/>
          <w:szCs w:val="24"/>
        </w:rPr>
        <w:t xml:space="preserve"> Data-based decision making has become an important element in school reform over the past decade. It began with the seminal work of Black and Wiliam (1998) on how ongoing data on student performance could be used by teachers to frame and reform instructional practice, and continued with current best practice on how professional learning communities use student data to improve teaching and learning (DuFour, et al., 2010; Steiny, 2009). The goal is to have teachers use data to inform their instructional practice, identify students who need interventions and improve student performance. As a result, data based decision making has become a central element of schools that are moving the student achievement needle (Odden, 2009, 2012).</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t>There is some confusion in terminology when referring to these new assessment data. Generally, these data are student performance data different from those provided by state accountability testing, such as NECAP in Kentucky. The most generic term is “interim data,” meaning assessment data collected in the interim between the annual administrations of state tests, though some practitioners and writers refer to such data as “formative assessments.”  There are at least two kind of such “interim” assessment data. Benchmark assessments, such as those provided by the Northwest Evaluation System called MAP (</w:t>
      </w:r>
      <w:hyperlink r:id="rId60" w:history="1">
        <w:r w:rsidRPr="00F40195">
          <w:rPr>
            <w:rStyle w:val="Hyperlink"/>
            <w:rFonts w:cs="Times New Roman"/>
            <w:szCs w:val="24"/>
          </w:rPr>
          <w:t>www.nwea.org</w:t>
        </w:r>
      </w:hyperlink>
      <w:r w:rsidRPr="00F40195">
        <w:rPr>
          <w:rFonts w:cs="Times New Roman"/>
          <w:szCs w:val="24"/>
        </w:rPr>
        <w:t xml:space="preserve"> ), which </w:t>
      </w:r>
      <w:proofErr w:type="gramStart"/>
      <w:r w:rsidRPr="00F40195">
        <w:rPr>
          <w:rFonts w:cs="Times New Roman"/>
          <w:szCs w:val="24"/>
        </w:rPr>
        <w:t>are</w:t>
      </w:r>
      <w:proofErr w:type="gramEnd"/>
      <w:r w:rsidRPr="00F40195">
        <w:rPr>
          <w:rFonts w:cs="Times New Roman"/>
          <w:szCs w:val="24"/>
        </w:rPr>
        <w:t xml:space="preserve"> given 2-3 times a year, often at the beginning, middle and end of the year. They are meant to provide “benchmark” information so teachers can see during the year how students are progressing in their learning. Sometimes these benchmark assessments are given just twice, once in the fall and again in late spring, and function just as a pre- and post-test for the school year, even though some practitioners erroneously refer to tests used this way as “formative assessments.”  </w:t>
      </w:r>
    </w:p>
    <w:p w:rsidR="00E006EB" w:rsidRPr="00F40195" w:rsidRDefault="00E006EB" w:rsidP="00F40195">
      <w:pPr>
        <w:spacing w:line="240" w:lineRule="auto"/>
        <w:rPr>
          <w:rFonts w:cs="Times New Roman"/>
          <w:szCs w:val="24"/>
        </w:rPr>
      </w:pPr>
    </w:p>
    <w:p w:rsidR="00E006EB" w:rsidRPr="00F40195" w:rsidRDefault="00E006EB" w:rsidP="00F40195">
      <w:pPr>
        <w:spacing w:line="240" w:lineRule="auto"/>
        <w:rPr>
          <w:rFonts w:cs="Times New Roman"/>
          <w:szCs w:val="24"/>
        </w:rPr>
      </w:pPr>
      <w:r w:rsidRPr="00F40195">
        <w:rPr>
          <w:rFonts w:cs="Times New Roman"/>
          <w:szCs w:val="24"/>
        </w:rPr>
        <w:lastRenderedPageBreak/>
        <w:t>A second type of assessment data is collected at shorter time cycles within every quarter or nine weeks of instruction; often referred to as “short cycle” or “formative” assessments. These more “micro” student outcome data are meant to be used by teachers both to plan instructional strategies before a curriculum unit is taught and to track student performance for the two-to-three curriculum concepts that would normally be taught during a nine week or so instructional period.</w:t>
      </w:r>
    </w:p>
    <w:p w:rsidR="00E006EB" w:rsidRPr="00F40195" w:rsidRDefault="00E006EB" w:rsidP="00F40195">
      <w:pPr>
        <w:spacing w:line="240" w:lineRule="auto"/>
        <w:rPr>
          <w:rFonts w:cs="Times New Roman"/>
          <w:szCs w:val="24"/>
        </w:rPr>
      </w:pPr>
      <w:r w:rsidRPr="00F40195">
        <w:rPr>
          <w:rFonts w:cs="Times New Roman"/>
          <w:szCs w:val="24"/>
        </w:rPr>
        <w:t>Sometimes “interim” assessment data are teacher created but it often is more efficient to start with commercially available packages, most of which are administered online and provide immediate results. Short cycle assessments provide the information a teacher needs to create a micro-map for how to teach specific curriculum units. Though analyses of the state tests provide a good beginning for schools to redesign their overall educational program, and benchmark assessments give feedback on each quarter of instruction and are often used to determine which students need interventions or extra help. Teachers also need the additional short cycle assessment and other screening data to design the details of, and daily lesson plans for, each specific curriculum unit in order to become more effective in getting all students to learn the main objectives in each curriculum unit to the level of proficiency.</w:t>
      </w:r>
    </w:p>
    <w:p w:rsidR="00E006EB" w:rsidRPr="00F40195" w:rsidRDefault="00E006EB" w:rsidP="00F40195">
      <w:pPr>
        <w:spacing w:line="240" w:lineRule="auto"/>
        <w:rPr>
          <w:rFonts w:cs="Times New Roman"/>
          <w:szCs w:val="24"/>
        </w:rPr>
      </w:pPr>
    </w:p>
    <w:p w:rsidR="00F75091" w:rsidRPr="00F40195" w:rsidRDefault="00E006EB" w:rsidP="00F40195">
      <w:pPr>
        <w:spacing w:line="240" w:lineRule="auto"/>
        <w:rPr>
          <w:rFonts w:cs="Times New Roman"/>
          <w:szCs w:val="24"/>
        </w:rPr>
      </w:pPr>
      <w:r w:rsidRPr="00F40195">
        <w:rPr>
          <w:rFonts w:cs="Times New Roman"/>
          <w:szCs w:val="24"/>
        </w:rPr>
        <w:t xml:space="preserve">When teachers have the detailed data from these interim assessments, they are able to design instructional activities that are more precisely matched to the exact learning status of the students in their own classrooms and school. In this way, their instruction can be much more efficient because they know the goals and objectives they want students to learn, and they know exactly what their students do and do not know with respect to those goals and objectives. With these </w:t>
      </w:r>
    </w:p>
    <w:p w:rsidR="00F75091" w:rsidRPr="00F40195" w:rsidRDefault="00F75091" w:rsidP="00F40195">
      <w:pPr>
        <w:spacing w:line="240" w:lineRule="auto"/>
        <w:rPr>
          <w:rFonts w:cs="Times New Roman"/>
          <w:szCs w:val="24"/>
        </w:rPr>
      </w:pPr>
    </w:p>
    <w:p w:rsidR="00E006EB" w:rsidRPr="00090DBD" w:rsidRDefault="00E006EB" w:rsidP="00090DBD">
      <w:pPr>
        <w:spacing w:line="240" w:lineRule="auto"/>
        <w:rPr>
          <w:rFonts w:cs="Times New Roman"/>
          <w:szCs w:val="24"/>
        </w:rPr>
      </w:pPr>
      <w:proofErr w:type="gramStart"/>
      <w:r w:rsidRPr="00F40195">
        <w:rPr>
          <w:rFonts w:cs="Times New Roman"/>
          <w:szCs w:val="24"/>
        </w:rPr>
        <w:t>data</w:t>
      </w:r>
      <w:proofErr w:type="gramEnd"/>
      <w:r w:rsidRPr="00F40195">
        <w:rPr>
          <w:rFonts w:cs="Times New Roman"/>
          <w:szCs w:val="24"/>
        </w:rPr>
        <w:t xml:space="preserve"> they can design instructional activities specifically to help the students in their classrooms learn the goals and objectives for </w:t>
      </w:r>
      <w:r w:rsidR="00090DBD">
        <w:rPr>
          <w:rFonts w:cs="Times New Roman"/>
          <w:szCs w:val="24"/>
        </w:rPr>
        <w:t>the particular curriculum unit.</w:t>
      </w:r>
    </w:p>
    <w:p w:rsidR="00E006EB" w:rsidRPr="00F40195" w:rsidRDefault="00E006EB" w:rsidP="007162A8">
      <w:pPr>
        <w:pStyle w:val="Heading2"/>
      </w:pPr>
      <w:bookmarkStart w:id="131" w:name="_Toc395180716"/>
      <w:r w:rsidRPr="00F40195">
        <w:t>Regional Cost Adjustments</w:t>
      </w:r>
      <w:bookmarkEnd w:id="131"/>
    </w:p>
    <w:p w:rsidR="00E006EB" w:rsidRPr="00F40195" w:rsidRDefault="00E006EB" w:rsidP="00F40195">
      <w:pPr>
        <w:pStyle w:val="Style3"/>
        <w:widowControl/>
        <w:spacing w:line="240" w:lineRule="auto"/>
        <w:contextualSpacing/>
        <w:jc w:val="left"/>
        <w:rPr>
          <w:rStyle w:val="FontStyle131"/>
          <w:rFonts w:ascii="Times New Roman" w:hAnsi="Times New Roman" w:cs="Times New Roman"/>
          <w:sz w:val="24"/>
          <w:szCs w:val="24"/>
        </w:rPr>
      </w:pPr>
      <w:r w:rsidRPr="00F40195">
        <w:rPr>
          <w:rStyle w:val="FontStyle131"/>
          <w:rFonts w:ascii="Times New Roman" w:hAnsi="Times New Roman" w:cs="Times New Roman"/>
          <w:sz w:val="24"/>
          <w:szCs w:val="24"/>
        </w:rPr>
        <w:t xml:space="preserve">An issue that gained prominence in school finance beginning in the 1970s and remains relevant today is the difference in prices that school districts face in purchasing educational resources. Districts not only purchase a different market basket of educational goods (just as individuals purchase a different market basket of goods), but they also pay different prices for the goods they purchase. District expenditures determine quantity issues (numbers of different types of educational goods purchased, such as teachers, books, buildings, etc.), the level of quality of those goods, and the cost of or price paid for each good. The variety, number, quality, and price of all educational goods purchased </w:t>
      </w:r>
      <w:proofErr w:type="gramStart"/>
      <w:r w:rsidRPr="00F40195">
        <w:rPr>
          <w:rStyle w:val="FontStyle131"/>
          <w:rFonts w:ascii="Times New Roman" w:hAnsi="Times New Roman" w:cs="Times New Roman"/>
          <w:sz w:val="24"/>
          <w:szCs w:val="24"/>
        </w:rPr>
        <w:t>determines</w:t>
      </w:r>
      <w:proofErr w:type="gramEnd"/>
      <w:r w:rsidRPr="00F40195">
        <w:rPr>
          <w:rStyle w:val="FontStyle131"/>
          <w:rFonts w:ascii="Times New Roman" w:hAnsi="Times New Roman" w:cs="Times New Roman"/>
          <w:sz w:val="24"/>
          <w:szCs w:val="24"/>
        </w:rPr>
        <w:t xml:space="preserve"> school district (and/or school) expenditures. While “expenditures” are often referred to as “costs” in school finance parlance, there is a difference between these two economic terms. “Expenditure” refers to the money spent on school resources; “cost” refers to the money spent on school resources to receive a certain level of output or to provide a certain quality of service. So comparing just expenditures would not indicate differences in costs; the comparison would have to be for expenditures for the quality of service – or teacher.</w:t>
      </w:r>
    </w:p>
    <w:p w:rsidR="00E006EB" w:rsidRPr="00F40195" w:rsidRDefault="00E006EB" w:rsidP="00F40195">
      <w:pPr>
        <w:pStyle w:val="Style3"/>
        <w:widowControl/>
        <w:spacing w:line="240" w:lineRule="auto"/>
        <w:contextualSpacing/>
        <w:jc w:val="left"/>
        <w:rPr>
          <w:rStyle w:val="FontStyle131"/>
          <w:rFonts w:ascii="Times New Roman" w:eastAsiaTheme="minorHAnsi" w:hAnsi="Times New Roman" w:cs="Times New Roman"/>
          <w:sz w:val="24"/>
          <w:szCs w:val="24"/>
        </w:rPr>
      </w:pPr>
    </w:p>
    <w:p w:rsidR="00E006EB" w:rsidRPr="00F40195" w:rsidRDefault="00E006EB" w:rsidP="00F40195">
      <w:pPr>
        <w:spacing w:line="240" w:lineRule="auto"/>
        <w:rPr>
          <w:rStyle w:val="FontStyle131"/>
          <w:rFonts w:ascii="Times New Roman" w:hAnsi="Times New Roman" w:cs="Times New Roman"/>
          <w:sz w:val="24"/>
          <w:szCs w:val="24"/>
        </w:rPr>
      </w:pPr>
      <w:r w:rsidRPr="00F40195">
        <w:rPr>
          <w:rStyle w:val="FontStyle131"/>
          <w:rFonts w:ascii="Times New Roman" w:hAnsi="Times New Roman" w:cs="Times New Roman"/>
          <w:sz w:val="24"/>
          <w:szCs w:val="24"/>
        </w:rPr>
        <w:t xml:space="preserve">Prices that school districts (and/or schools) face in purchasing educational resources differ across school districts and many states, like Kentucky, have taken an interest in trying to adjust school aid allocations to compensate for geographic cost or price differences. For example, a teacher of </w:t>
      </w:r>
      <w:r w:rsidRPr="00F40195">
        <w:rPr>
          <w:rStyle w:val="FontStyle131"/>
          <w:rFonts w:ascii="Times New Roman" w:hAnsi="Times New Roman" w:cs="Times New Roman"/>
          <w:sz w:val="24"/>
          <w:szCs w:val="24"/>
        </w:rPr>
        <w:lastRenderedPageBreak/>
        <w:t>a certain quality will probably cost more in an urban area, where general costs of living are higher, than in nonurban areas, where general costs of living are lower. But prices or cost variations that districts must pay for teachers of the same quality also differ among school districts because of variations in the nature of the work required, the quality of the working environment, and the characteristics of the local community. Teachers might accept marginally lower salaries if, for example, they teach four rather than five periods a day or have smaller classes, or if there are numerous opportunities for staff development, relative to other districts. Or teachers might want marginally higher salaries if there are few cultural opportunities in the surrounding community. The combination of differences in general cost of living, working conditions, and the amenities of the surrounding community produces differences in prices that districts must pay for teachers of a given quality.</w:t>
      </w:r>
    </w:p>
    <w:p w:rsidR="00F75091" w:rsidRPr="00F40195" w:rsidRDefault="00F75091" w:rsidP="00F40195">
      <w:pPr>
        <w:spacing w:line="240" w:lineRule="auto"/>
        <w:rPr>
          <w:rStyle w:val="FontStyle131"/>
          <w:rFonts w:ascii="Times New Roman" w:hAnsi="Times New Roman" w:cs="Times New Roman"/>
          <w:sz w:val="24"/>
          <w:szCs w:val="24"/>
        </w:rPr>
      </w:pPr>
    </w:p>
    <w:p w:rsidR="00F75091" w:rsidRPr="00F40195" w:rsidRDefault="00F75091" w:rsidP="00F40195">
      <w:pPr>
        <w:spacing w:line="240" w:lineRule="auto"/>
        <w:rPr>
          <w:rStyle w:val="FontStyle131"/>
          <w:rFonts w:ascii="Times New Roman" w:hAnsi="Times New Roman" w:cs="Times New Roman"/>
          <w:sz w:val="24"/>
          <w:szCs w:val="24"/>
        </w:rPr>
      </w:pPr>
    </w:p>
    <w:p w:rsidR="00F75091" w:rsidRPr="00F40195" w:rsidRDefault="00F75091" w:rsidP="00F40195">
      <w:pPr>
        <w:spacing w:line="240" w:lineRule="auto"/>
        <w:rPr>
          <w:rStyle w:val="FontStyle131"/>
          <w:rFonts w:ascii="Times New Roman" w:hAnsi="Times New Roman" w:cs="Times New Roman"/>
          <w:sz w:val="24"/>
          <w:szCs w:val="24"/>
        </w:rPr>
      </w:pPr>
      <w:r w:rsidRPr="00F40195">
        <w:rPr>
          <w:rStyle w:val="FontStyle131"/>
          <w:rFonts w:ascii="Times New Roman" w:hAnsi="Times New Roman" w:cs="Times New Roman"/>
          <w:sz w:val="24"/>
          <w:szCs w:val="24"/>
        </w:rPr>
        <w:br w:type="page"/>
      </w:r>
    </w:p>
    <w:p w:rsidR="00F75091" w:rsidRPr="00F40195" w:rsidRDefault="00F75091" w:rsidP="007162A8">
      <w:pPr>
        <w:pStyle w:val="Heading1"/>
        <w:rPr>
          <w:szCs w:val="24"/>
        </w:rPr>
      </w:pPr>
      <w:bookmarkStart w:id="132" w:name="_Toc395180717"/>
      <w:r w:rsidRPr="00F40195">
        <w:rPr>
          <w:szCs w:val="24"/>
        </w:rPr>
        <w:lastRenderedPageBreak/>
        <w:t>APPENDIX B</w:t>
      </w:r>
      <w:r w:rsidR="00A31076" w:rsidRPr="00F40195">
        <w:rPr>
          <w:szCs w:val="24"/>
        </w:rPr>
        <w:t xml:space="preserve">:  </w:t>
      </w:r>
      <w:r w:rsidRPr="00F40195">
        <w:t>Comparing Kentucky’s Education System to High Achieving States</w:t>
      </w:r>
      <w:bookmarkEnd w:id="132"/>
    </w:p>
    <w:p w:rsidR="0005174E" w:rsidRPr="00F40195" w:rsidRDefault="0005174E" w:rsidP="00F40195">
      <w:pPr>
        <w:widowControl w:val="0"/>
        <w:autoSpaceDE w:val="0"/>
        <w:autoSpaceDN w:val="0"/>
        <w:adjustRightInd w:val="0"/>
        <w:spacing w:line="240" w:lineRule="auto"/>
        <w:rPr>
          <w:rFonts w:cs="Times New Roman"/>
        </w:rPr>
      </w:pPr>
    </w:p>
    <w:p w:rsidR="0005174E" w:rsidRPr="00F40195" w:rsidRDefault="0005174E" w:rsidP="00F40195">
      <w:pPr>
        <w:widowControl w:val="0"/>
        <w:autoSpaceDE w:val="0"/>
        <w:autoSpaceDN w:val="0"/>
        <w:adjustRightInd w:val="0"/>
        <w:spacing w:line="240" w:lineRule="auto"/>
        <w:rPr>
          <w:rFonts w:cs="Times New Roman"/>
          <w:color w:val="343434"/>
        </w:rPr>
      </w:pPr>
      <w:r w:rsidRPr="00F40195">
        <w:rPr>
          <w:rFonts w:cs="Times New Roman"/>
        </w:rPr>
        <w:t xml:space="preserve">On February 24, 2014, the </w:t>
      </w:r>
      <w:r w:rsidRPr="00F40195">
        <w:rPr>
          <w:rFonts w:cs="Times New Roman"/>
          <w:color w:val="343434"/>
        </w:rPr>
        <w:t xml:space="preserve">Kentucky School Finance Advisory Committee met to discuss the school funding study being conducted by Picus Odden </w:t>
      </w:r>
      <w:r w:rsidR="00CC1F61" w:rsidRPr="00F40195">
        <w:rPr>
          <w:rFonts w:cs="Times New Roman"/>
          <w:color w:val="343434"/>
        </w:rPr>
        <w:t>&amp;</w:t>
      </w:r>
      <w:r w:rsidRPr="00F40195">
        <w:rPr>
          <w:rFonts w:cs="Times New Roman"/>
          <w:color w:val="343434"/>
        </w:rPr>
        <w:t xml:space="preserve"> Associates. During this meeting the committee recommended that the state comparison section of the study contain information on how Kentucky’s education system compares to states with high achieving education systems.  The committee felt that this type of comparison could be used to help set future educational goals for the state of Kentucky.</w:t>
      </w:r>
    </w:p>
    <w:p w:rsidR="0005174E" w:rsidRPr="00F40195" w:rsidRDefault="0005174E" w:rsidP="00F40195">
      <w:pPr>
        <w:widowControl w:val="0"/>
        <w:autoSpaceDE w:val="0"/>
        <w:autoSpaceDN w:val="0"/>
        <w:adjustRightInd w:val="0"/>
        <w:spacing w:line="240" w:lineRule="auto"/>
        <w:rPr>
          <w:rFonts w:cs="Times New Roman"/>
          <w:color w:val="343434"/>
        </w:rPr>
      </w:pPr>
    </w:p>
    <w:p w:rsidR="0005174E" w:rsidRPr="00F40195" w:rsidRDefault="0005174E" w:rsidP="007162A8">
      <w:pPr>
        <w:pStyle w:val="Heading2"/>
      </w:pPr>
      <w:bookmarkStart w:id="133" w:name="_Toc395180718"/>
      <w:r w:rsidRPr="00F40195">
        <w:t>Identifying Which States are High Achieving</w:t>
      </w:r>
      <w:bookmarkEnd w:id="133"/>
    </w:p>
    <w:p w:rsidR="0005174E" w:rsidRPr="00F40195" w:rsidRDefault="0005174E" w:rsidP="00F40195">
      <w:pPr>
        <w:widowControl w:val="0"/>
        <w:autoSpaceDE w:val="0"/>
        <w:autoSpaceDN w:val="0"/>
        <w:adjustRightInd w:val="0"/>
        <w:spacing w:line="240" w:lineRule="auto"/>
        <w:rPr>
          <w:rFonts w:cs="Times New Roman"/>
        </w:rPr>
      </w:pPr>
    </w:p>
    <w:p w:rsidR="0005174E" w:rsidRPr="00F40195" w:rsidRDefault="0005174E" w:rsidP="00F40195">
      <w:pPr>
        <w:widowControl w:val="0"/>
        <w:autoSpaceDE w:val="0"/>
        <w:autoSpaceDN w:val="0"/>
        <w:adjustRightInd w:val="0"/>
        <w:spacing w:line="240" w:lineRule="auto"/>
        <w:rPr>
          <w:rFonts w:cs="Times New Roman"/>
          <w:color w:val="343434"/>
        </w:rPr>
      </w:pPr>
      <w:r w:rsidRPr="00F40195">
        <w:rPr>
          <w:rFonts w:cs="Times New Roman"/>
        </w:rPr>
        <w:t xml:space="preserve">The first step in the process was to identify states that have high achieving public education systems. To identify these states this study reviewed the following education outcome data from each of the fifty states: </w:t>
      </w:r>
    </w:p>
    <w:p w:rsidR="0005174E" w:rsidRPr="00F40195" w:rsidRDefault="0005174E" w:rsidP="00F40195">
      <w:pPr>
        <w:widowControl w:val="0"/>
        <w:autoSpaceDE w:val="0"/>
        <w:autoSpaceDN w:val="0"/>
        <w:adjustRightInd w:val="0"/>
        <w:spacing w:line="240" w:lineRule="auto"/>
        <w:rPr>
          <w:rFonts w:cs="Times New Roman"/>
        </w:rPr>
      </w:pPr>
    </w:p>
    <w:p w:rsidR="0005174E" w:rsidRPr="00F40195" w:rsidRDefault="0005174E" w:rsidP="00F40195">
      <w:pPr>
        <w:pStyle w:val="ListParagraph"/>
        <w:widowControl w:val="0"/>
        <w:numPr>
          <w:ilvl w:val="0"/>
          <w:numId w:val="42"/>
        </w:numPr>
        <w:tabs>
          <w:tab w:val="left" w:pos="220"/>
          <w:tab w:val="left" w:pos="720"/>
        </w:tabs>
        <w:autoSpaceDE w:val="0"/>
        <w:autoSpaceDN w:val="0"/>
        <w:adjustRightInd w:val="0"/>
        <w:spacing w:line="240" w:lineRule="auto"/>
        <w:rPr>
          <w:rFonts w:cs="Times New Roman"/>
        </w:rPr>
      </w:pPr>
      <w:r w:rsidRPr="00F40195">
        <w:rPr>
          <w:rFonts w:cs="Times New Roman"/>
        </w:rPr>
        <w:t>Total student population scoring “at or above proficient” on the 2013 National Assessment of Educational Progress (NAEP) in the math &amp; reading exams in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w:t>
      </w:r>
    </w:p>
    <w:p w:rsidR="0005174E" w:rsidRPr="00F40195" w:rsidRDefault="0005174E" w:rsidP="00F40195">
      <w:pPr>
        <w:pStyle w:val="ListParagraph"/>
        <w:widowControl w:val="0"/>
        <w:numPr>
          <w:ilvl w:val="0"/>
          <w:numId w:val="42"/>
        </w:numPr>
        <w:tabs>
          <w:tab w:val="left" w:pos="220"/>
          <w:tab w:val="left" w:pos="720"/>
        </w:tabs>
        <w:autoSpaceDE w:val="0"/>
        <w:autoSpaceDN w:val="0"/>
        <w:adjustRightInd w:val="0"/>
        <w:spacing w:line="240" w:lineRule="auto"/>
        <w:rPr>
          <w:rFonts w:cs="Times New Roman"/>
        </w:rPr>
      </w:pPr>
      <w:r w:rsidRPr="00F40195">
        <w:rPr>
          <w:rFonts w:cs="Times New Roman"/>
        </w:rPr>
        <w:t>Free and reduced price lunch population scoring “at or above proficient” on the 2013 NAEP math &amp; reading exams in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w:t>
      </w:r>
    </w:p>
    <w:p w:rsidR="0005174E" w:rsidRPr="00F40195" w:rsidRDefault="0005174E" w:rsidP="00F40195">
      <w:pPr>
        <w:pStyle w:val="ListParagraph"/>
        <w:widowControl w:val="0"/>
        <w:numPr>
          <w:ilvl w:val="0"/>
          <w:numId w:val="42"/>
        </w:numPr>
        <w:tabs>
          <w:tab w:val="left" w:pos="220"/>
          <w:tab w:val="left" w:pos="720"/>
        </w:tabs>
        <w:autoSpaceDE w:val="0"/>
        <w:autoSpaceDN w:val="0"/>
        <w:adjustRightInd w:val="0"/>
        <w:spacing w:line="240" w:lineRule="auto"/>
        <w:rPr>
          <w:rFonts w:cs="Times New Roman"/>
        </w:rPr>
      </w:pPr>
      <w:r w:rsidRPr="00F40195">
        <w:rPr>
          <w:rFonts w:cs="Times New Roman"/>
        </w:rPr>
        <w:t>English Language Learner population scoring “at or above proficient” on the 2013 NAEP math &amp; reading exams in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w:t>
      </w:r>
    </w:p>
    <w:p w:rsidR="0005174E" w:rsidRPr="00F40195" w:rsidRDefault="0005174E" w:rsidP="00F40195">
      <w:pPr>
        <w:pStyle w:val="ListParagraph"/>
        <w:widowControl w:val="0"/>
        <w:numPr>
          <w:ilvl w:val="0"/>
          <w:numId w:val="42"/>
        </w:numPr>
        <w:tabs>
          <w:tab w:val="left" w:pos="220"/>
          <w:tab w:val="left" w:pos="720"/>
        </w:tabs>
        <w:autoSpaceDE w:val="0"/>
        <w:autoSpaceDN w:val="0"/>
        <w:adjustRightInd w:val="0"/>
        <w:spacing w:line="240" w:lineRule="auto"/>
        <w:rPr>
          <w:rFonts w:cs="Times New Roman"/>
        </w:rPr>
      </w:pPr>
      <w:r w:rsidRPr="00F40195">
        <w:rPr>
          <w:rFonts w:cs="Times New Roman"/>
        </w:rPr>
        <w:t>Percent of students graduating high school in four-years in the 2009-10 school year</w:t>
      </w:r>
    </w:p>
    <w:p w:rsidR="0005174E" w:rsidRPr="00F40195" w:rsidRDefault="0005174E" w:rsidP="00F40195">
      <w:pPr>
        <w:widowControl w:val="0"/>
        <w:autoSpaceDE w:val="0"/>
        <w:autoSpaceDN w:val="0"/>
        <w:adjustRightInd w:val="0"/>
        <w:spacing w:line="240" w:lineRule="auto"/>
        <w:rPr>
          <w:rFonts w:cs="Times New Roman"/>
        </w:rPr>
      </w:pPr>
    </w:p>
    <w:p w:rsidR="0005174E" w:rsidRPr="00F40195" w:rsidRDefault="0005174E" w:rsidP="00F40195">
      <w:pPr>
        <w:widowControl w:val="0"/>
        <w:autoSpaceDE w:val="0"/>
        <w:autoSpaceDN w:val="0"/>
        <w:adjustRightInd w:val="0"/>
        <w:spacing w:line="240" w:lineRule="auto"/>
        <w:rPr>
          <w:rFonts w:cs="Times New Roman"/>
        </w:rPr>
      </w:pPr>
      <w:r w:rsidRPr="00F40195">
        <w:rPr>
          <w:rFonts w:cs="Times New Roman"/>
        </w:rPr>
        <w:t>States were awarded one point each time they ranked in the top ten on each of the 12 different NAEP categories and 4 points for ranking in the top ten in high school graduation rates – for a total potential score of 16 point. Using this method the study found that the following six states had the highest scores:</w:t>
      </w:r>
    </w:p>
    <w:p w:rsidR="0005174E" w:rsidRPr="00F40195" w:rsidRDefault="0005174E" w:rsidP="00F40195">
      <w:pPr>
        <w:widowControl w:val="0"/>
        <w:autoSpaceDE w:val="0"/>
        <w:autoSpaceDN w:val="0"/>
        <w:adjustRightInd w:val="0"/>
        <w:spacing w:line="240" w:lineRule="auto"/>
        <w:rPr>
          <w:rFonts w:cs="Times New Roman"/>
        </w:rPr>
      </w:pPr>
    </w:p>
    <w:p w:rsidR="0005174E" w:rsidRPr="00F40195" w:rsidRDefault="0005174E" w:rsidP="00F40195">
      <w:pPr>
        <w:pStyle w:val="ListParagraph"/>
        <w:widowControl w:val="0"/>
        <w:numPr>
          <w:ilvl w:val="0"/>
          <w:numId w:val="43"/>
        </w:numPr>
        <w:tabs>
          <w:tab w:val="left" w:pos="220"/>
          <w:tab w:val="left" w:pos="720"/>
        </w:tabs>
        <w:autoSpaceDE w:val="0"/>
        <w:autoSpaceDN w:val="0"/>
        <w:adjustRightInd w:val="0"/>
        <w:spacing w:line="240" w:lineRule="auto"/>
        <w:rPr>
          <w:rFonts w:cs="Times New Roman"/>
        </w:rPr>
      </w:pPr>
      <w:r w:rsidRPr="00F40195">
        <w:rPr>
          <w:rFonts w:cs="Times New Roman"/>
        </w:rPr>
        <w:t>Minnesota (12 points)</w:t>
      </w:r>
    </w:p>
    <w:p w:rsidR="0005174E" w:rsidRPr="00F40195" w:rsidRDefault="0005174E" w:rsidP="00F40195">
      <w:pPr>
        <w:pStyle w:val="ListParagraph"/>
        <w:widowControl w:val="0"/>
        <w:numPr>
          <w:ilvl w:val="0"/>
          <w:numId w:val="43"/>
        </w:numPr>
        <w:tabs>
          <w:tab w:val="left" w:pos="220"/>
          <w:tab w:val="left" w:pos="720"/>
        </w:tabs>
        <w:autoSpaceDE w:val="0"/>
        <w:autoSpaceDN w:val="0"/>
        <w:adjustRightInd w:val="0"/>
        <w:spacing w:line="240" w:lineRule="auto"/>
        <w:rPr>
          <w:rFonts w:cs="Times New Roman"/>
        </w:rPr>
      </w:pPr>
      <w:r w:rsidRPr="00F40195">
        <w:rPr>
          <w:rFonts w:cs="Times New Roman"/>
        </w:rPr>
        <w:t>New Hampshire (12 points)</w:t>
      </w:r>
    </w:p>
    <w:p w:rsidR="0005174E" w:rsidRPr="00F40195" w:rsidRDefault="0005174E" w:rsidP="00F40195">
      <w:pPr>
        <w:pStyle w:val="ListParagraph"/>
        <w:widowControl w:val="0"/>
        <w:numPr>
          <w:ilvl w:val="0"/>
          <w:numId w:val="43"/>
        </w:numPr>
        <w:tabs>
          <w:tab w:val="left" w:pos="220"/>
          <w:tab w:val="left" w:pos="720"/>
        </w:tabs>
        <w:autoSpaceDE w:val="0"/>
        <w:autoSpaceDN w:val="0"/>
        <w:adjustRightInd w:val="0"/>
        <w:spacing w:line="240" w:lineRule="auto"/>
        <w:rPr>
          <w:rFonts w:cs="Times New Roman"/>
        </w:rPr>
      </w:pPr>
      <w:r w:rsidRPr="00F40195">
        <w:rPr>
          <w:rFonts w:cs="Times New Roman"/>
        </w:rPr>
        <w:t>Vermont (12 points)</w:t>
      </w:r>
    </w:p>
    <w:p w:rsidR="0005174E" w:rsidRPr="00F40195" w:rsidRDefault="0005174E" w:rsidP="00F40195">
      <w:pPr>
        <w:pStyle w:val="ListParagraph"/>
        <w:widowControl w:val="0"/>
        <w:numPr>
          <w:ilvl w:val="0"/>
          <w:numId w:val="43"/>
        </w:numPr>
        <w:tabs>
          <w:tab w:val="left" w:pos="220"/>
          <w:tab w:val="left" w:pos="720"/>
        </w:tabs>
        <w:autoSpaceDE w:val="0"/>
        <w:autoSpaceDN w:val="0"/>
        <w:adjustRightInd w:val="0"/>
        <w:spacing w:line="240" w:lineRule="auto"/>
        <w:rPr>
          <w:rFonts w:cs="Times New Roman"/>
        </w:rPr>
      </w:pPr>
      <w:r w:rsidRPr="00F40195">
        <w:rPr>
          <w:rFonts w:cs="Times New Roman"/>
        </w:rPr>
        <w:t>Massachusetts (11 points)</w:t>
      </w:r>
    </w:p>
    <w:p w:rsidR="0005174E" w:rsidRPr="00F40195" w:rsidRDefault="0005174E" w:rsidP="00F40195">
      <w:pPr>
        <w:pStyle w:val="ListParagraph"/>
        <w:widowControl w:val="0"/>
        <w:numPr>
          <w:ilvl w:val="0"/>
          <w:numId w:val="43"/>
        </w:numPr>
        <w:tabs>
          <w:tab w:val="left" w:pos="220"/>
          <w:tab w:val="left" w:pos="720"/>
        </w:tabs>
        <w:autoSpaceDE w:val="0"/>
        <w:autoSpaceDN w:val="0"/>
        <w:adjustRightInd w:val="0"/>
        <w:spacing w:line="240" w:lineRule="auto"/>
        <w:rPr>
          <w:rFonts w:cs="Times New Roman"/>
        </w:rPr>
      </w:pPr>
      <w:r w:rsidRPr="00F40195">
        <w:rPr>
          <w:rFonts w:cs="Times New Roman"/>
        </w:rPr>
        <w:t>Kansas (10 points)</w:t>
      </w:r>
    </w:p>
    <w:p w:rsidR="0005174E" w:rsidRPr="00F40195" w:rsidRDefault="0005174E" w:rsidP="00F40195">
      <w:pPr>
        <w:pStyle w:val="ListParagraph"/>
        <w:widowControl w:val="0"/>
        <w:numPr>
          <w:ilvl w:val="0"/>
          <w:numId w:val="43"/>
        </w:numPr>
        <w:tabs>
          <w:tab w:val="left" w:pos="220"/>
          <w:tab w:val="left" w:pos="720"/>
        </w:tabs>
        <w:autoSpaceDE w:val="0"/>
        <w:autoSpaceDN w:val="0"/>
        <w:adjustRightInd w:val="0"/>
        <w:spacing w:line="240" w:lineRule="auto"/>
        <w:rPr>
          <w:rFonts w:cs="Times New Roman"/>
        </w:rPr>
      </w:pPr>
      <w:r w:rsidRPr="00F40195">
        <w:rPr>
          <w:rFonts w:cs="Times New Roman"/>
        </w:rPr>
        <w:t>New Jersey (10 points)</w:t>
      </w:r>
    </w:p>
    <w:p w:rsidR="0005174E" w:rsidRPr="00F40195" w:rsidRDefault="0005174E" w:rsidP="00F40195">
      <w:pPr>
        <w:widowControl w:val="0"/>
        <w:autoSpaceDE w:val="0"/>
        <w:autoSpaceDN w:val="0"/>
        <w:adjustRightInd w:val="0"/>
        <w:spacing w:line="240" w:lineRule="auto"/>
        <w:rPr>
          <w:rFonts w:cs="Times New Roman"/>
        </w:rPr>
      </w:pPr>
    </w:p>
    <w:p w:rsidR="0005174E" w:rsidRPr="00F40195" w:rsidRDefault="0005174E" w:rsidP="00F40195">
      <w:pPr>
        <w:spacing w:line="240" w:lineRule="auto"/>
        <w:rPr>
          <w:rFonts w:cs="Times New Roman"/>
        </w:rPr>
      </w:pPr>
      <w:r w:rsidRPr="00F40195">
        <w:rPr>
          <w:rFonts w:cs="Times New Roman"/>
        </w:rPr>
        <w:t xml:space="preserve">This list of top performing states contains three New England states and one each from the Midwest, Great Plains and Mid-Atlantic regions. </w:t>
      </w:r>
    </w:p>
    <w:p w:rsidR="0005174E" w:rsidRPr="00F40195" w:rsidRDefault="0005174E" w:rsidP="00F40195">
      <w:pPr>
        <w:spacing w:line="240" w:lineRule="auto"/>
        <w:rPr>
          <w:rFonts w:cs="Times New Roman"/>
        </w:rPr>
      </w:pPr>
    </w:p>
    <w:p w:rsidR="0005174E" w:rsidRPr="00F40195" w:rsidRDefault="0005174E" w:rsidP="007162A8">
      <w:pPr>
        <w:pStyle w:val="Heading2"/>
      </w:pPr>
      <w:bookmarkStart w:id="134" w:name="_Toc395180719"/>
      <w:r w:rsidRPr="00F40195">
        <w:lastRenderedPageBreak/>
        <w:t>Educational Outcomes</w:t>
      </w:r>
      <w:bookmarkEnd w:id="134"/>
    </w:p>
    <w:p w:rsidR="0005174E" w:rsidRPr="00F40195" w:rsidRDefault="0005174E" w:rsidP="00F40195">
      <w:pPr>
        <w:spacing w:line="240" w:lineRule="auto"/>
        <w:rPr>
          <w:rFonts w:cs="Times New Roman"/>
        </w:rPr>
      </w:pPr>
      <w:r w:rsidRPr="00F40195">
        <w:rPr>
          <w:rFonts w:cs="Times New Roman"/>
        </w:rPr>
        <w:t>There are a limited number of educational outcomes that can be used to make state-to-state comparisons. Individual state exams can’t be used for comparison purposes because they vary so greatly. National exams such as the ACT and SAT are not comparable state-to-state because there such a variation in the percentage of students in each state who take these exams. International exams such as Programme for International Student Assessment (PISA) and the Trends in International Mathematics and Science (TIMSS) are not given to enough students in each state to have comparable data. While there is educational achievement data by state (i.e. the percentage of the population with high school or college diplomas) – this information can be misleading when trying to judge a state’s education system because some states are net importers, while others are net exporters, of individuals with high school or college degrees. Because of the various issues stated above this study limited its comparisons of educational outcomes to the National Assessment of Educational Progress (NAEP) math and reading exams for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and to high school graduation rates.</w:t>
      </w:r>
    </w:p>
    <w:p w:rsidR="0005174E" w:rsidRPr="00F40195" w:rsidRDefault="0005174E" w:rsidP="008D674A">
      <w:pPr>
        <w:pStyle w:val="Heading3"/>
      </w:pPr>
      <w:bookmarkStart w:id="135" w:name="_Toc395180720"/>
      <w:r w:rsidRPr="00F40195">
        <w:t>NAEP Math and Reading Results</w:t>
      </w:r>
      <w:bookmarkEnd w:id="135"/>
    </w:p>
    <w:p w:rsidR="0005174E" w:rsidRPr="00F40195" w:rsidRDefault="0005174E" w:rsidP="00F40195">
      <w:pPr>
        <w:spacing w:line="240" w:lineRule="auto"/>
        <w:rPr>
          <w:rFonts w:cs="Times New Roman"/>
        </w:rPr>
      </w:pPr>
      <w:r w:rsidRPr="00F40195">
        <w:rPr>
          <w:rFonts w:cs="Times New Roman"/>
        </w:rPr>
        <w:t>The number of students in Kentucky that scored at or above the proficient level on the NAEP math exam in both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grades trailed that of all six high achieving states. On the reading exam Kentucky’s 4</w:t>
      </w:r>
      <w:r w:rsidRPr="00F40195">
        <w:rPr>
          <w:rFonts w:cs="Times New Roman"/>
          <w:vertAlign w:val="superscript"/>
        </w:rPr>
        <w:t>th</w:t>
      </w:r>
      <w:r w:rsidRPr="00F40195">
        <w:rPr>
          <w:rFonts w:cs="Times New Roman"/>
        </w:rPr>
        <w:t xml:space="preserve"> grade students trailed the students in all six high achieving states. Kentucky’s 8</w:t>
      </w:r>
      <w:r w:rsidRPr="00F40195">
        <w:rPr>
          <w:rFonts w:cs="Times New Roman"/>
          <w:vertAlign w:val="superscript"/>
        </w:rPr>
        <w:t>th</w:t>
      </w:r>
      <w:r w:rsidRPr="00F40195">
        <w:rPr>
          <w:rFonts w:cs="Times New Roman"/>
        </w:rPr>
        <w:t xml:space="preserve"> grade reading results were ahead of Kansas’ but trailed the results of the other five high achieving states. Some key findings included:</w:t>
      </w:r>
    </w:p>
    <w:p w:rsidR="0005174E" w:rsidRPr="00F40195" w:rsidRDefault="0005174E" w:rsidP="00F40195">
      <w:pPr>
        <w:spacing w:line="240" w:lineRule="auto"/>
        <w:rPr>
          <w:rFonts w:cs="Times New Roman"/>
        </w:rPr>
      </w:pPr>
    </w:p>
    <w:p w:rsidR="0005174E" w:rsidRPr="00F40195" w:rsidRDefault="0005174E" w:rsidP="00F40195">
      <w:pPr>
        <w:pStyle w:val="ListParagraph"/>
        <w:numPr>
          <w:ilvl w:val="0"/>
          <w:numId w:val="44"/>
        </w:numPr>
        <w:spacing w:line="240" w:lineRule="auto"/>
        <w:rPr>
          <w:rFonts w:cs="Times New Roman"/>
        </w:rPr>
      </w:pPr>
      <w:r w:rsidRPr="00F40195">
        <w:rPr>
          <w:rFonts w:cs="Times New Roman"/>
          <w:u w:val="single"/>
        </w:rPr>
        <w:t>Math 4</w:t>
      </w:r>
      <w:r w:rsidRPr="00F40195">
        <w:rPr>
          <w:rFonts w:cs="Times New Roman"/>
          <w:u w:val="single"/>
          <w:vertAlign w:val="superscript"/>
        </w:rPr>
        <w:t>th</w:t>
      </w:r>
      <w:r w:rsidRPr="00F40195">
        <w:rPr>
          <w:rFonts w:cs="Times New Roman"/>
          <w:u w:val="single"/>
        </w:rPr>
        <w:t xml:space="preserve"> grade</w:t>
      </w:r>
      <w:r w:rsidR="00F72B94">
        <w:rPr>
          <w:rFonts w:cs="Times New Roman"/>
        </w:rPr>
        <w:t>: 41 percent</w:t>
      </w:r>
      <w:r w:rsidRPr="00F40195">
        <w:rPr>
          <w:rFonts w:cs="Times New Roman"/>
        </w:rPr>
        <w:t xml:space="preserve"> of Kentucky’s students scored at or above proficient – this trailed the high achieving states by between 7% (Kansas) and 18% (Minnesota and New Hampshire)</w:t>
      </w:r>
    </w:p>
    <w:p w:rsidR="0005174E" w:rsidRPr="00F40195" w:rsidRDefault="0005174E" w:rsidP="00F40195">
      <w:pPr>
        <w:pStyle w:val="ListParagraph"/>
        <w:numPr>
          <w:ilvl w:val="0"/>
          <w:numId w:val="44"/>
        </w:numPr>
        <w:spacing w:line="240" w:lineRule="auto"/>
        <w:rPr>
          <w:rFonts w:cs="Times New Roman"/>
        </w:rPr>
      </w:pPr>
      <w:r w:rsidRPr="00F40195">
        <w:rPr>
          <w:rFonts w:cs="Times New Roman"/>
          <w:u w:val="single"/>
        </w:rPr>
        <w:t>Math 8</w:t>
      </w:r>
      <w:r w:rsidRPr="00F40195">
        <w:rPr>
          <w:rFonts w:cs="Times New Roman"/>
          <w:u w:val="single"/>
          <w:vertAlign w:val="superscript"/>
        </w:rPr>
        <w:t>th</w:t>
      </w:r>
      <w:r w:rsidRPr="00F40195">
        <w:rPr>
          <w:rFonts w:cs="Times New Roman"/>
          <w:u w:val="single"/>
        </w:rPr>
        <w:t xml:space="preserve"> grade</w:t>
      </w:r>
      <w:r w:rsidR="00F72B94">
        <w:rPr>
          <w:rFonts w:cs="Times New Roman"/>
        </w:rPr>
        <w:t>: 30 percent</w:t>
      </w:r>
      <w:r w:rsidRPr="00F40195">
        <w:rPr>
          <w:rFonts w:cs="Times New Roman"/>
        </w:rPr>
        <w:t xml:space="preserve"> of Kentucky’s students scored at or above proficient – this trailed the high achieving states by between 10% (Kansas) and 25% (Massachusetts)</w:t>
      </w:r>
    </w:p>
    <w:p w:rsidR="0005174E" w:rsidRPr="00F40195" w:rsidRDefault="0005174E" w:rsidP="00F40195">
      <w:pPr>
        <w:pStyle w:val="ListParagraph"/>
        <w:numPr>
          <w:ilvl w:val="0"/>
          <w:numId w:val="44"/>
        </w:numPr>
        <w:spacing w:line="240" w:lineRule="auto"/>
        <w:rPr>
          <w:rFonts w:cs="Times New Roman"/>
        </w:rPr>
      </w:pPr>
      <w:r w:rsidRPr="00F40195">
        <w:rPr>
          <w:rFonts w:cs="Times New Roman"/>
          <w:u w:val="single"/>
        </w:rPr>
        <w:t>Reading 4</w:t>
      </w:r>
      <w:r w:rsidRPr="00F40195">
        <w:rPr>
          <w:rFonts w:cs="Times New Roman"/>
          <w:u w:val="single"/>
          <w:vertAlign w:val="superscript"/>
        </w:rPr>
        <w:t>th</w:t>
      </w:r>
      <w:r w:rsidRPr="00F40195">
        <w:rPr>
          <w:rFonts w:cs="Times New Roman"/>
          <w:u w:val="single"/>
        </w:rPr>
        <w:t xml:space="preserve"> grade</w:t>
      </w:r>
      <w:r w:rsidR="00F72B94">
        <w:rPr>
          <w:rFonts w:cs="Times New Roman"/>
        </w:rPr>
        <w:t>: 36 percent</w:t>
      </w:r>
      <w:r w:rsidRPr="00F40195">
        <w:rPr>
          <w:rFonts w:cs="Times New Roman"/>
        </w:rPr>
        <w:t xml:space="preserve"> of Kentucky’s students scored at or above proficient – this trailed the high achieving states by between 2% (Kansas) and 11% (Massachusetts)</w:t>
      </w:r>
    </w:p>
    <w:p w:rsidR="0005174E" w:rsidRPr="00F40195" w:rsidRDefault="0005174E" w:rsidP="00F40195">
      <w:pPr>
        <w:pStyle w:val="ListParagraph"/>
        <w:numPr>
          <w:ilvl w:val="0"/>
          <w:numId w:val="44"/>
        </w:numPr>
        <w:spacing w:line="240" w:lineRule="auto"/>
        <w:rPr>
          <w:rFonts w:cs="Times New Roman"/>
        </w:rPr>
      </w:pPr>
      <w:r w:rsidRPr="00F40195">
        <w:rPr>
          <w:rFonts w:cs="Times New Roman"/>
          <w:u w:val="single"/>
        </w:rPr>
        <w:t>Reading 8</w:t>
      </w:r>
      <w:r w:rsidRPr="00F40195">
        <w:rPr>
          <w:rFonts w:cs="Times New Roman"/>
          <w:u w:val="single"/>
          <w:vertAlign w:val="superscript"/>
        </w:rPr>
        <w:t>th</w:t>
      </w:r>
      <w:r w:rsidRPr="00F40195">
        <w:rPr>
          <w:rFonts w:cs="Times New Roman"/>
          <w:u w:val="single"/>
        </w:rPr>
        <w:t xml:space="preserve"> grade</w:t>
      </w:r>
      <w:r w:rsidR="00F72B94">
        <w:rPr>
          <w:rFonts w:cs="Times New Roman"/>
        </w:rPr>
        <w:t>: 38 percent</w:t>
      </w:r>
      <w:r w:rsidRPr="00F40195">
        <w:rPr>
          <w:rFonts w:cs="Times New Roman"/>
        </w:rPr>
        <w:t xml:space="preserve"> of Kentucky’s students scored at or above proficient – this was 2% above Kansas but trailed Massachusetts by 10%</w:t>
      </w:r>
    </w:p>
    <w:p w:rsidR="0005174E" w:rsidRPr="00F40195" w:rsidRDefault="0005174E" w:rsidP="00F40195">
      <w:pPr>
        <w:spacing w:line="240" w:lineRule="auto"/>
        <w:rPr>
          <w:rFonts w:cs="Times New Roman"/>
        </w:rPr>
      </w:pPr>
    </w:p>
    <w:p w:rsidR="003B0CF5" w:rsidRDefault="003B0CF5" w:rsidP="003B0CF5">
      <w:pPr>
        <w:spacing w:line="240" w:lineRule="auto"/>
        <w:jc w:val="center"/>
        <w:rPr>
          <w:rFonts w:cs="Times New Roman"/>
          <w:b/>
        </w:rPr>
      </w:pPr>
      <w:r>
        <w:rPr>
          <w:rFonts w:cs="Times New Roman"/>
          <w:b/>
        </w:rPr>
        <w:t>Table 1.A</w:t>
      </w:r>
    </w:p>
    <w:p w:rsidR="0005174E" w:rsidRDefault="0005174E" w:rsidP="003B0CF5">
      <w:pPr>
        <w:spacing w:line="240" w:lineRule="auto"/>
        <w:jc w:val="center"/>
        <w:rPr>
          <w:rFonts w:cs="Times New Roman"/>
          <w:b/>
        </w:rPr>
      </w:pPr>
      <w:r w:rsidRPr="00F40195">
        <w:rPr>
          <w:rFonts w:cs="Times New Roman"/>
          <w:b/>
        </w:rPr>
        <w:t>Pe</w:t>
      </w:r>
      <w:r w:rsidR="003B0CF5">
        <w:rPr>
          <w:rFonts w:cs="Times New Roman"/>
          <w:b/>
        </w:rPr>
        <w:t xml:space="preserve">rcentage of Student Population </w:t>
      </w:r>
      <w:r w:rsidRPr="00F40195">
        <w:rPr>
          <w:rFonts w:cs="Times New Roman"/>
          <w:b/>
        </w:rPr>
        <w:t>Scoring “At or Above Proficient” on 2013 NAEP Exams</w:t>
      </w:r>
    </w:p>
    <w:p w:rsidR="003B0CF5" w:rsidRPr="00F40195" w:rsidRDefault="003B0CF5" w:rsidP="00F40195">
      <w:pPr>
        <w:spacing w:line="240" w:lineRule="auto"/>
        <w:rPr>
          <w:rFonts w:cs="Times New Roman"/>
          <w:b/>
        </w:rPr>
      </w:pPr>
    </w:p>
    <w:tbl>
      <w:tblPr>
        <w:tblStyle w:val="TableGrid"/>
        <w:tblW w:w="0" w:type="auto"/>
        <w:tblLook w:val="04A0" w:firstRow="1" w:lastRow="0" w:firstColumn="1" w:lastColumn="0" w:noHBand="0" w:noVBand="1"/>
      </w:tblPr>
      <w:tblGrid>
        <w:gridCol w:w="1759"/>
        <w:gridCol w:w="1892"/>
        <w:gridCol w:w="1893"/>
        <w:gridCol w:w="1854"/>
        <w:gridCol w:w="1458"/>
      </w:tblGrid>
      <w:tr w:rsidR="0005174E" w:rsidRPr="00F40195" w:rsidTr="00667CC1">
        <w:tc>
          <w:tcPr>
            <w:tcW w:w="1759" w:type="dxa"/>
            <w:vMerge w:val="restart"/>
            <w:vAlign w:val="center"/>
          </w:tcPr>
          <w:p w:rsidR="0005174E" w:rsidRPr="00F40195" w:rsidRDefault="0005174E" w:rsidP="00F40195">
            <w:pPr>
              <w:jc w:val="center"/>
            </w:pPr>
            <w:r w:rsidRPr="00F40195">
              <w:t>State</w:t>
            </w:r>
          </w:p>
        </w:tc>
        <w:tc>
          <w:tcPr>
            <w:tcW w:w="3785" w:type="dxa"/>
            <w:gridSpan w:val="2"/>
            <w:tcBorders>
              <w:bottom w:val="single" w:sz="4" w:space="0" w:color="auto"/>
            </w:tcBorders>
            <w:vAlign w:val="center"/>
          </w:tcPr>
          <w:p w:rsidR="0005174E" w:rsidRPr="00F40195" w:rsidRDefault="0005174E" w:rsidP="00F40195">
            <w:pPr>
              <w:jc w:val="center"/>
            </w:pPr>
            <w:r w:rsidRPr="00F40195">
              <w:t xml:space="preserve">Math </w:t>
            </w:r>
          </w:p>
        </w:tc>
        <w:tc>
          <w:tcPr>
            <w:tcW w:w="3312" w:type="dxa"/>
            <w:gridSpan w:val="2"/>
            <w:tcBorders>
              <w:bottom w:val="single" w:sz="4" w:space="0" w:color="auto"/>
            </w:tcBorders>
          </w:tcPr>
          <w:p w:rsidR="0005174E" w:rsidRPr="00F40195" w:rsidRDefault="0005174E" w:rsidP="00F40195">
            <w:pPr>
              <w:jc w:val="center"/>
            </w:pPr>
            <w:r w:rsidRPr="00F40195">
              <w:t>Reading</w:t>
            </w:r>
          </w:p>
        </w:tc>
      </w:tr>
      <w:tr w:rsidR="0005174E" w:rsidRPr="00F40195" w:rsidTr="00667CC1">
        <w:tc>
          <w:tcPr>
            <w:tcW w:w="1759" w:type="dxa"/>
            <w:vMerge/>
            <w:tcBorders>
              <w:bottom w:val="thinThickSmallGap" w:sz="24" w:space="0" w:color="auto"/>
            </w:tcBorders>
            <w:vAlign w:val="center"/>
          </w:tcPr>
          <w:p w:rsidR="0005174E" w:rsidRPr="00F40195" w:rsidRDefault="0005174E" w:rsidP="00F40195">
            <w:pPr>
              <w:jc w:val="center"/>
            </w:pPr>
          </w:p>
        </w:tc>
        <w:tc>
          <w:tcPr>
            <w:tcW w:w="1892" w:type="dxa"/>
            <w:tcBorders>
              <w:bottom w:val="thinThickSmallGap" w:sz="24" w:space="0" w:color="auto"/>
            </w:tcBorders>
            <w:vAlign w:val="center"/>
          </w:tcPr>
          <w:p w:rsidR="0005174E" w:rsidRPr="00F40195" w:rsidRDefault="0005174E" w:rsidP="00F40195">
            <w:pPr>
              <w:jc w:val="center"/>
            </w:pPr>
            <w:r w:rsidRPr="00F40195">
              <w:t>4</w:t>
            </w:r>
            <w:r w:rsidRPr="00F40195">
              <w:rPr>
                <w:vertAlign w:val="superscript"/>
              </w:rPr>
              <w:t>th</w:t>
            </w:r>
            <w:r w:rsidRPr="00F40195">
              <w:t xml:space="preserve"> Grade</w:t>
            </w:r>
          </w:p>
        </w:tc>
        <w:tc>
          <w:tcPr>
            <w:tcW w:w="1893" w:type="dxa"/>
            <w:tcBorders>
              <w:bottom w:val="thinThickSmallGap" w:sz="24" w:space="0" w:color="auto"/>
            </w:tcBorders>
            <w:vAlign w:val="center"/>
          </w:tcPr>
          <w:p w:rsidR="0005174E" w:rsidRPr="00F40195" w:rsidRDefault="0005174E" w:rsidP="00F40195">
            <w:pPr>
              <w:jc w:val="center"/>
            </w:pPr>
            <w:r w:rsidRPr="00F40195">
              <w:t>8</w:t>
            </w:r>
            <w:r w:rsidRPr="00F40195">
              <w:rPr>
                <w:vertAlign w:val="superscript"/>
              </w:rPr>
              <w:t>th</w:t>
            </w:r>
            <w:r w:rsidRPr="00F40195">
              <w:t xml:space="preserve"> Grade</w:t>
            </w:r>
          </w:p>
        </w:tc>
        <w:tc>
          <w:tcPr>
            <w:tcW w:w="1854" w:type="dxa"/>
            <w:tcBorders>
              <w:bottom w:val="thinThickSmallGap" w:sz="24" w:space="0" w:color="auto"/>
            </w:tcBorders>
          </w:tcPr>
          <w:p w:rsidR="0005174E" w:rsidRPr="00F40195" w:rsidRDefault="0005174E" w:rsidP="00F40195">
            <w:pPr>
              <w:jc w:val="center"/>
            </w:pPr>
            <w:r w:rsidRPr="00F40195">
              <w:t>4</w:t>
            </w:r>
            <w:r w:rsidRPr="00F40195">
              <w:rPr>
                <w:vertAlign w:val="superscript"/>
              </w:rPr>
              <w:t>th</w:t>
            </w:r>
            <w:r w:rsidRPr="00F40195">
              <w:t xml:space="preserve"> Grade</w:t>
            </w:r>
          </w:p>
        </w:tc>
        <w:tc>
          <w:tcPr>
            <w:tcW w:w="1458" w:type="dxa"/>
            <w:tcBorders>
              <w:bottom w:val="thinThickSmallGap" w:sz="24" w:space="0" w:color="auto"/>
            </w:tcBorders>
          </w:tcPr>
          <w:p w:rsidR="0005174E" w:rsidRPr="00F40195" w:rsidRDefault="0005174E" w:rsidP="00F40195">
            <w:pPr>
              <w:jc w:val="center"/>
            </w:pPr>
            <w:r w:rsidRPr="00F40195">
              <w:t>8</w:t>
            </w:r>
            <w:r w:rsidRPr="00F40195">
              <w:rPr>
                <w:vertAlign w:val="superscript"/>
              </w:rPr>
              <w:t>th</w:t>
            </w:r>
            <w:r w:rsidRPr="00F40195">
              <w:t xml:space="preserve"> Grade</w:t>
            </w:r>
          </w:p>
        </w:tc>
      </w:tr>
      <w:tr w:rsidR="0005174E" w:rsidRPr="00F40195" w:rsidTr="00667CC1">
        <w:tc>
          <w:tcPr>
            <w:tcW w:w="175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18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41%</w:t>
            </w:r>
          </w:p>
        </w:tc>
        <w:tc>
          <w:tcPr>
            <w:tcW w:w="1893"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30%</w:t>
            </w:r>
          </w:p>
        </w:tc>
        <w:tc>
          <w:tcPr>
            <w:tcW w:w="1854"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36%</w:t>
            </w:r>
          </w:p>
        </w:tc>
        <w:tc>
          <w:tcPr>
            <w:tcW w:w="1458"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38%</w:t>
            </w:r>
          </w:p>
        </w:tc>
      </w:tr>
      <w:tr w:rsidR="0005174E" w:rsidRPr="00F40195" w:rsidTr="00667CC1">
        <w:tc>
          <w:tcPr>
            <w:tcW w:w="1759" w:type="dxa"/>
            <w:tcBorders>
              <w:top w:val="thinThickSmallGap" w:sz="24" w:space="0" w:color="auto"/>
            </w:tcBorders>
            <w:vAlign w:val="center"/>
          </w:tcPr>
          <w:p w:rsidR="0005174E" w:rsidRPr="00F40195" w:rsidRDefault="0005174E" w:rsidP="00F40195">
            <w:pPr>
              <w:jc w:val="center"/>
            </w:pPr>
            <w:r w:rsidRPr="00F40195">
              <w:t>Kansas</w:t>
            </w:r>
          </w:p>
        </w:tc>
        <w:tc>
          <w:tcPr>
            <w:tcW w:w="1892" w:type="dxa"/>
            <w:tcBorders>
              <w:top w:val="thinThickSmallGap" w:sz="24" w:space="0" w:color="auto"/>
            </w:tcBorders>
            <w:vAlign w:val="center"/>
          </w:tcPr>
          <w:p w:rsidR="0005174E" w:rsidRPr="00F40195" w:rsidRDefault="0005174E" w:rsidP="00F40195">
            <w:pPr>
              <w:jc w:val="center"/>
            </w:pPr>
            <w:r w:rsidRPr="00F40195">
              <w:t>48%</w:t>
            </w:r>
          </w:p>
        </w:tc>
        <w:tc>
          <w:tcPr>
            <w:tcW w:w="1893" w:type="dxa"/>
            <w:tcBorders>
              <w:top w:val="thinThickSmallGap" w:sz="24" w:space="0" w:color="auto"/>
            </w:tcBorders>
          </w:tcPr>
          <w:p w:rsidR="0005174E" w:rsidRPr="00F40195" w:rsidRDefault="0005174E" w:rsidP="00F40195">
            <w:pPr>
              <w:jc w:val="center"/>
            </w:pPr>
            <w:r w:rsidRPr="00F40195">
              <w:t>40%</w:t>
            </w:r>
          </w:p>
        </w:tc>
        <w:tc>
          <w:tcPr>
            <w:tcW w:w="1854" w:type="dxa"/>
            <w:tcBorders>
              <w:top w:val="thinThickSmallGap" w:sz="24" w:space="0" w:color="auto"/>
            </w:tcBorders>
          </w:tcPr>
          <w:p w:rsidR="0005174E" w:rsidRPr="00F40195" w:rsidRDefault="0005174E" w:rsidP="00F40195">
            <w:pPr>
              <w:jc w:val="center"/>
            </w:pPr>
            <w:r w:rsidRPr="00F40195">
              <w:t>38%</w:t>
            </w:r>
          </w:p>
        </w:tc>
        <w:tc>
          <w:tcPr>
            <w:tcW w:w="1458" w:type="dxa"/>
            <w:tcBorders>
              <w:top w:val="thinThickSmallGap" w:sz="24" w:space="0" w:color="auto"/>
            </w:tcBorders>
          </w:tcPr>
          <w:p w:rsidR="0005174E" w:rsidRPr="00F40195" w:rsidRDefault="0005174E" w:rsidP="00F40195">
            <w:pPr>
              <w:jc w:val="center"/>
              <w:rPr>
                <w:color w:val="FF0000"/>
              </w:rPr>
            </w:pPr>
            <w:r w:rsidRPr="00F40195">
              <w:rPr>
                <w:color w:val="FF0000"/>
              </w:rPr>
              <w:t>36%</w:t>
            </w:r>
          </w:p>
        </w:tc>
      </w:tr>
      <w:tr w:rsidR="0005174E" w:rsidRPr="00F40195" w:rsidTr="00667CC1">
        <w:tc>
          <w:tcPr>
            <w:tcW w:w="1759" w:type="dxa"/>
            <w:vAlign w:val="center"/>
          </w:tcPr>
          <w:p w:rsidR="0005174E" w:rsidRPr="00F40195" w:rsidRDefault="0005174E" w:rsidP="00F40195">
            <w:pPr>
              <w:jc w:val="center"/>
            </w:pPr>
            <w:r w:rsidRPr="00F40195">
              <w:t>Massachusetts</w:t>
            </w:r>
          </w:p>
        </w:tc>
        <w:tc>
          <w:tcPr>
            <w:tcW w:w="1892" w:type="dxa"/>
            <w:vAlign w:val="center"/>
          </w:tcPr>
          <w:p w:rsidR="0005174E" w:rsidRPr="00F40195" w:rsidRDefault="0005174E" w:rsidP="00F40195">
            <w:pPr>
              <w:jc w:val="center"/>
            </w:pPr>
            <w:r w:rsidRPr="00F40195">
              <w:t>58%</w:t>
            </w:r>
          </w:p>
        </w:tc>
        <w:tc>
          <w:tcPr>
            <w:tcW w:w="1893" w:type="dxa"/>
          </w:tcPr>
          <w:p w:rsidR="0005174E" w:rsidRPr="00F40195" w:rsidRDefault="0005174E" w:rsidP="00F40195">
            <w:pPr>
              <w:jc w:val="center"/>
            </w:pPr>
            <w:r w:rsidRPr="00F40195">
              <w:t>55%</w:t>
            </w:r>
          </w:p>
        </w:tc>
        <w:tc>
          <w:tcPr>
            <w:tcW w:w="1854" w:type="dxa"/>
          </w:tcPr>
          <w:p w:rsidR="0005174E" w:rsidRPr="00F40195" w:rsidRDefault="0005174E" w:rsidP="00F40195">
            <w:pPr>
              <w:jc w:val="center"/>
            </w:pPr>
            <w:r w:rsidRPr="00F40195">
              <w:t>47%</w:t>
            </w:r>
          </w:p>
        </w:tc>
        <w:tc>
          <w:tcPr>
            <w:tcW w:w="1458" w:type="dxa"/>
          </w:tcPr>
          <w:p w:rsidR="0005174E" w:rsidRPr="00F40195" w:rsidRDefault="0005174E" w:rsidP="00F40195">
            <w:pPr>
              <w:jc w:val="center"/>
            </w:pPr>
            <w:r w:rsidRPr="00F40195">
              <w:t>48%</w:t>
            </w:r>
          </w:p>
        </w:tc>
      </w:tr>
      <w:tr w:rsidR="0005174E" w:rsidRPr="00F40195" w:rsidTr="00667CC1">
        <w:trPr>
          <w:trHeight w:val="65"/>
        </w:trPr>
        <w:tc>
          <w:tcPr>
            <w:tcW w:w="1759" w:type="dxa"/>
            <w:vAlign w:val="center"/>
          </w:tcPr>
          <w:p w:rsidR="0005174E" w:rsidRPr="00F40195" w:rsidRDefault="0005174E" w:rsidP="00F40195">
            <w:pPr>
              <w:jc w:val="center"/>
            </w:pPr>
            <w:r w:rsidRPr="00F40195">
              <w:t>Minnesota</w:t>
            </w:r>
          </w:p>
        </w:tc>
        <w:tc>
          <w:tcPr>
            <w:tcW w:w="1892" w:type="dxa"/>
            <w:vAlign w:val="center"/>
          </w:tcPr>
          <w:p w:rsidR="0005174E" w:rsidRPr="00F40195" w:rsidRDefault="0005174E" w:rsidP="00F40195">
            <w:pPr>
              <w:jc w:val="center"/>
            </w:pPr>
            <w:r w:rsidRPr="00F40195">
              <w:t>59%</w:t>
            </w:r>
          </w:p>
        </w:tc>
        <w:tc>
          <w:tcPr>
            <w:tcW w:w="1893" w:type="dxa"/>
          </w:tcPr>
          <w:p w:rsidR="0005174E" w:rsidRPr="00F40195" w:rsidRDefault="0005174E" w:rsidP="00F40195">
            <w:pPr>
              <w:jc w:val="center"/>
            </w:pPr>
            <w:r w:rsidRPr="00F40195">
              <w:t>47%</w:t>
            </w:r>
          </w:p>
        </w:tc>
        <w:tc>
          <w:tcPr>
            <w:tcW w:w="1854" w:type="dxa"/>
          </w:tcPr>
          <w:p w:rsidR="0005174E" w:rsidRPr="00F40195" w:rsidRDefault="0005174E" w:rsidP="00F40195">
            <w:pPr>
              <w:jc w:val="center"/>
            </w:pPr>
            <w:r w:rsidRPr="00F40195">
              <w:t>41%</w:t>
            </w:r>
          </w:p>
        </w:tc>
        <w:tc>
          <w:tcPr>
            <w:tcW w:w="1458" w:type="dxa"/>
          </w:tcPr>
          <w:p w:rsidR="0005174E" w:rsidRPr="00F40195" w:rsidRDefault="0005174E" w:rsidP="00F40195">
            <w:pPr>
              <w:jc w:val="center"/>
            </w:pPr>
            <w:r w:rsidRPr="00F40195">
              <w:t>41%</w:t>
            </w:r>
          </w:p>
        </w:tc>
      </w:tr>
      <w:tr w:rsidR="0005174E" w:rsidRPr="00F40195" w:rsidTr="00667CC1">
        <w:tc>
          <w:tcPr>
            <w:tcW w:w="1759" w:type="dxa"/>
            <w:vAlign w:val="center"/>
          </w:tcPr>
          <w:p w:rsidR="0005174E" w:rsidRPr="00F40195" w:rsidRDefault="0005174E" w:rsidP="00F40195">
            <w:pPr>
              <w:ind w:right="-77"/>
              <w:jc w:val="center"/>
            </w:pPr>
            <w:r w:rsidRPr="00F40195">
              <w:t>New Hampshire</w:t>
            </w:r>
          </w:p>
        </w:tc>
        <w:tc>
          <w:tcPr>
            <w:tcW w:w="1892" w:type="dxa"/>
            <w:vAlign w:val="center"/>
          </w:tcPr>
          <w:p w:rsidR="0005174E" w:rsidRPr="00F40195" w:rsidRDefault="0005174E" w:rsidP="00F40195">
            <w:pPr>
              <w:jc w:val="center"/>
            </w:pPr>
            <w:r w:rsidRPr="00F40195">
              <w:t>59%</w:t>
            </w:r>
          </w:p>
        </w:tc>
        <w:tc>
          <w:tcPr>
            <w:tcW w:w="1893" w:type="dxa"/>
          </w:tcPr>
          <w:p w:rsidR="0005174E" w:rsidRPr="00F40195" w:rsidRDefault="0005174E" w:rsidP="00F40195">
            <w:pPr>
              <w:jc w:val="center"/>
            </w:pPr>
            <w:r w:rsidRPr="00F40195">
              <w:t>47%</w:t>
            </w:r>
          </w:p>
        </w:tc>
        <w:tc>
          <w:tcPr>
            <w:tcW w:w="1854" w:type="dxa"/>
          </w:tcPr>
          <w:p w:rsidR="0005174E" w:rsidRPr="00F40195" w:rsidRDefault="0005174E" w:rsidP="00F40195">
            <w:pPr>
              <w:jc w:val="center"/>
            </w:pPr>
            <w:r w:rsidRPr="00F40195">
              <w:t>45%</w:t>
            </w:r>
          </w:p>
        </w:tc>
        <w:tc>
          <w:tcPr>
            <w:tcW w:w="1458" w:type="dxa"/>
          </w:tcPr>
          <w:p w:rsidR="0005174E" w:rsidRPr="00F40195" w:rsidRDefault="0005174E" w:rsidP="00F40195">
            <w:pPr>
              <w:jc w:val="center"/>
            </w:pPr>
            <w:r w:rsidRPr="00F40195">
              <w:t>44%</w:t>
            </w:r>
          </w:p>
        </w:tc>
      </w:tr>
      <w:tr w:rsidR="0005174E" w:rsidRPr="00F40195" w:rsidTr="00667CC1">
        <w:tc>
          <w:tcPr>
            <w:tcW w:w="1759" w:type="dxa"/>
            <w:vAlign w:val="center"/>
          </w:tcPr>
          <w:p w:rsidR="0005174E" w:rsidRPr="00F40195" w:rsidRDefault="0005174E" w:rsidP="00F40195">
            <w:pPr>
              <w:jc w:val="center"/>
            </w:pPr>
            <w:r w:rsidRPr="00F40195">
              <w:t>New Jersey</w:t>
            </w:r>
          </w:p>
        </w:tc>
        <w:tc>
          <w:tcPr>
            <w:tcW w:w="1892" w:type="dxa"/>
            <w:vAlign w:val="center"/>
          </w:tcPr>
          <w:p w:rsidR="0005174E" w:rsidRPr="00F40195" w:rsidRDefault="0005174E" w:rsidP="00F40195">
            <w:pPr>
              <w:jc w:val="center"/>
            </w:pPr>
            <w:r w:rsidRPr="00F40195">
              <w:t>49%</w:t>
            </w:r>
          </w:p>
        </w:tc>
        <w:tc>
          <w:tcPr>
            <w:tcW w:w="1893" w:type="dxa"/>
          </w:tcPr>
          <w:p w:rsidR="0005174E" w:rsidRPr="00F40195" w:rsidRDefault="0005174E" w:rsidP="00F40195">
            <w:pPr>
              <w:jc w:val="center"/>
            </w:pPr>
            <w:r w:rsidRPr="00F40195">
              <w:t>49%</w:t>
            </w:r>
          </w:p>
        </w:tc>
        <w:tc>
          <w:tcPr>
            <w:tcW w:w="1854" w:type="dxa"/>
          </w:tcPr>
          <w:p w:rsidR="0005174E" w:rsidRPr="00F40195" w:rsidRDefault="0005174E" w:rsidP="00F40195">
            <w:pPr>
              <w:jc w:val="center"/>
            </w:pPr>
            <w:r w:rsidRPr="00F40195">
              <w:t>42%</w:t>
            </w:r>
          </w:p>
        </w:tc>
        <w:tc>
          <w:tcPr>
            <w:tcW w:w="1458" w:type="dxa"/>
          </w:tcPr>
          <w:p w:rsidR="0005174E" w:rsidRPr="00F40195" w:rsidRDefault="0005174E" w:rsidP="00F40195">
            <w:pPr>
              <w:jc w:val="center"/>
            </w:pPr>
            <w:r w:rsidRPr="00F40195">
              <w:t>46%</w:t>
            </w:r>
          </w:p>
        </w:tc>
      </w:tr>
      <w:tr w:rsidR="0005174E" w:rsidRPr="00F40195" w:rsidTr="00667CC1">
        <w:tc>
          <w:tcPr>
            <w:tcW w:w="1759" w:type="dxa"/>
            <w:vAlign w:val="center"/>
          </w:tcPr>
          <w:p w:rsidR="0005174E" w:rsidRPr="00F40195" w:rsidRDefault="0005174E" w:rsidP="00F40195">
            <w:pPr>
              <w:jc w:val="center"/>
            </w:pPr>
            <w:r w:rsidRPr="00F40195">
              <w:lastRenderedPageBreak/>
              <w:t>Vermont</w:t>
            </w:r>
          </w:p>
        </w:tc>
        <w:tc>
          <w:tcPr>
            <w:tcW w:w="1892" w:type="dxa"/>
            <w:vAlign w:val="center"/>
          </w:tcPr>
          <w:p w:rsidR="0005174E" w:rsidRPr="00F40195" w:rsidRDefault="0005174E" w:rsidP="00F40195">
            <w:pPr>
              <w:jc w:val="center"/>
            </w:pPr>
            <w:r w:rsidRPr="00F40195">
              <w:t>52%</w:t>
            </w:r>
          </w:p>
        </w:tc>
        <w:tc>
          <w:tcPr>
            <w:tcW w:w="1893" w:type="dxa"/>
          </w:tcPr>
          <w:p w:rsidR="0005174E" w:rsidRPr="00F40195" w:rsidRDefault="0005174E" w:rsidP="00F40195">
            <w:pPr>
              <w:jc w:val="center"/>
            </w:pPr>
            <w:r w:rsidRPr="00F40195">
              <w:t>47%</w:t>
            </w:r>
          </w:p>
        </w:tc>
        <w:tc>
          <w:tcPr>
            <w:tcW w:w="1854" w:type="dxa"/>
          </w:tcPr>
          <w:p w:rsidR="0005174E" w:rsidRPr="00F40195" w:rsidRDefault="0005174E" w:rsidP="00F40195">
            <w:pPr>
              <w:jc w:val="center"/>
            </w:pPr>
            <w:r w:rsidRPr="00F40195">
              <w:t>42%</w:t>
            </w:r>
          </w:p>
        </w:tc>
        <w:tc>
          <w:tcPr>
            <w:tcW w:w="1458" w:type="dxa"/>
          </w:tcPr>
          <w:p w:rsidR="0005174E" w:rsidRPr="00F40195" w:rsidRDefault="0005174E" w:rsidP="00F40195">
            <w:pPr>
              <w:jc w:val="center"/>
            </w:pPr>
            <w:r w:rsidRPr="00F40195">
              <w:t>45%</w:t>
            </w:r>
          </w:p>
        </w:tc>
      </w:tr>
    </w:tbl>
    <w:p w:rsidR="0005174E" w:rsidRPr="00F40195" w:rsidRDefault="0005174E" w:rsidP="00F40195">
      <w:pPr>
        <w:spacing w:line="240" w:lineRule="auto"/>
        <w:rPr>
          <w:rFonts w:cs="Times New Roman"/>
          <w:sz w:val="20"/>
          <w:szCs w:val="20"/>
        </w:rPr>
      </w:pPr>
      <w:r w:rsidRPr="00F40195">
        <w:rPr>
          <w:rFonts w:cs="Times New Roman"/>
          <w:sz w:val="20"/>
          <w:szCs w:val="20"/>
        </w:rPr>
        <w:t>Source: U.S. Department of Education</w:t>
      </w:r>
    </w:p>
    <w:p w:rsidR="0005174E" w:rsidRPr="00F40195" w:rsidRDefault="0005174E" w:rsidP="00F40195">
      <w:pPr>
        <w:spacing w:line="240" w:lineRule="auto"/>
        <w:rPr>
          <w:rFonts w:cs="Times New Roman"/>
        </w:rPr>
      </w:pPr>
    </w:p>
    <w:p w:rsidR="0005174E" w:rsidRPr="00F40195" w:rsidRDefault="0005174E" w:rsidP="00F40195">
      <w:pPr>
        <w:spacing w:line="240" w:lineRule="auto"/>
        <w:rPr>
          <w:rFonts w:cs="Times New Roman"/>
          <w:b/>
          <w:u w:val="single"/>
        </w:rPr>
      </w:pPr>
      <w:r w:rsidRPr="00F40195">
        <w:rPr>
          <w:rFonts w:cs="Times New Roman"/>
          <w:b/>
          <w:u w:val="single"/>
        </w:rPr>
        <w:t>Free &amp; Reduced Price Lunch Students’ NAEP Scores</w:t>
      </w:r>
    </w:p>
    <w:p w:rsidR="0005174E" w:rsidRPr="00F40195" w:rsidRDefault="0005174E" w:rsidP="00F40195">
      <w:pPr>
        <w:spacing w:line="240" w:lineRule="auto"/>
        <w:rPr>
          <w:rFonts w:cs="Times New Roman"/>
        </w:rPr>
      </w:pPr>
      <w:r w:rsidRPr="00F40195">
        <w:rPr>
          <w:rFonts w:cs="Times New Roman"/>
        </w:rPr>
        <w:t>In 2013, Kentucky’s free/reduced priced lunch (F/R L) students generally finish behind the high achieving states in both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math exams but finished with mixed results on the 4</w:t>
      </w:r>
      <w:r w:rsidRPr="00F40195">
        <w:rPr>
          <w:rFonts w:cs="Times New Roman"/>
          <w:vertAlign w:val="superscript"/>
        </w:rPr>
        <w:t>th</w:t>
      </w:r>
      <w:r w:rsidRPr="00F40195">
        <w:rPr>
          <w:rFonts w:cs="Times New Roman"/>
        </w:rPr>
        <w:t xml:space="preserve"> and 8</w:t>
      </w:r>
      <w:r w:rsidRPr="00F40195">
        <w:rPr>
          <w:rFonts w:cs="Times New Roman"/>
          <w:vertAlign w:val="superscript"/>
        </w:rPr>
        <w:t>th</w:t>
      </w:r>
      <w:r w:rsidRPr="00F40195">
        <w:rPr>
          <w:rFonts w:cs="Times New Roman"/>
        </w:rPr>
        <w:t xml:space="preserve"> grade reading exams. </w:t>
      </w:r>
    </w:p>
    <w:p w:rsidR="0005174E" w:rsidRPr="00F40195" w:rsidRDefault="0005174E" w:rsidP="00F40195">
      <w:pPr>
        <w:spacing w:line="240" w:lineRule="auto"/>
        <w:rPr>
          <w:rFonts w:cs="Times New Roman"/>
        </w:rPr>
      </w:pPr>
    </w:p>
    <w:p w:rsidR="0005174E" w:rsidRPr="00F40195" w:rsidRDefault="0005174E" w:rsidP="00F40195">
      <w:pPr>
        <w:pStyle w:val="ListParagraph"/>
        <w:numPr>
          <w:ilvl w:val="0"/>
          <w:numId w:val="45"/>
        </w:numPr>
        <w:spacing w:line="240" w:lineRule="auto"/>
        <w:rPr>
          <w:rFonts w:cs="Times New Roman"/>
        </w:rPr>
      </w:pPr>
      <w:r w:rsidRPr="00F40195">
        <w:rPr>
          <w:rFonts w:cs="Times New Roman"/>
          <w:u w:val="single"/>
        </w:rPr>
        <w:t>Math 4</w:t>
      </w:r>
      <w:r w:rsidRPr="00F40195">
        <w:rPr>
          <w:rFonts w:cs="Times New Roman"/>
          <w:u w:val="single"/>
          <w:vertAlign w:val="superscript"/>
        </w:rPr>
        <w:t>th</w:t>
      </w:r>
      <w:r w:rsidRPr="00F40195">
        <w:rPr>
          <w:rFonts w:cs="Times New Roman"/>
          <w:u w:val="single"/>
        </w:rPr>
        <w:t xml:space="preserve"> grade</w:t>
      </w:r>
      <w:r w:rsidR="00F72B94">
        <w:rPr>
          <w:rFonts w:cs="Times New Roman"/>
        </w:rPr>
        <w:t>: 28 percent</w:t>
      </w:r>
      <w:r w:rsidRPr="00F40195">
        <w:rPr>
          <w:rFonts w:cs="Times New Roman"/>
        </w:rPr>
        <w:t xml:space="preserve"> of Kentucky’s F/R PL students scored at or above proficient – this equaled the results for New Jersey but trailed the other high achieving state</w:t>
      </w:r>
      <w:r w:rsidR="00F72B94">
        <w:rPr>
          <w:rFonts w:cs="Times New Roman"/>
        </w:rPr>
        <w:t>s by between 5 percent (Kansas) and 10 percent</w:t>
      </w:r>
      <w:r w:rsidRPr="00F40195">
        <w:rPr>
          <w:rFonts w:cs="Times New Roman"/>
        </w:rPr>
        <w:t xml:space="preserve"> (New Hampshire)</w:t>
      </w:r>
    </w:p>
    <w:p w:rsidR="0005174E" w:rsidRPr="00F40195" w:rsidRDefault="0005174E" w:rsidP="00F40195">
      <w:pPr>
        <w:pStyle w:val="ListParagraph"/>
        <w:numPr>
          <w:ilvl w:val="0"/>
          <w:numId w:val="45"/>
        </w:numPr>
        <w:spacing w:line="240" w:lineRule="auto"/>
        <w:rPr>
          <w:rFonts w:cs="Times New Roman"/>
        </w:rPr>
      </w:pPr>
      <w:r w:rsidRPr="00F40195">
        <w:rPr>
          <w:rFonts w:cs="Times New Roman"/>
          <w:u w:val="single"/>
        </w:rPr>
        <w:t>Math 8</w:t>
      </w:r>
      <w:r w:rsidRPr="00F40195">
        <w:rPr>
          <w:rFonts w:cs="Times New Roman"/>
          <w:u w:val="single"/>
          <w:vertAlign w:val="superscript"/>
        </w:rPr>
        <w:t>th</w:t>
      </w:r>
      <w:r w:rsidRPr="00F40195">
        <w:rPr>
          <w:rFonts w:cs="Times New Roman"/>
          <w:u w:val="single"/>
        </w:rPr>
        <w:t xml:space="preserve"> grade</w:t>
      </w:r>
      <w:r w:rsidR="00F72B94">
        <w:rPr>
          <w:rFonts w:cs="Times New Roman"/>
        </w:rPr>
        <w:t>: 16 percent</w:t>
      </w:r>
      <w:r w:rsidRPr="00F40195">
        <w:rPr>
          <w:rFonts w:cs="Times New Roman"/>
        </w:rPr>
        <w:t xml:space="preserve"> of Kentucky’s F/R PL students scored at or above proficient – this trailed all of the high achieving states </w:t>
      </w:r>
      <w:r w:rsidR="00F72B94">
        <w:rPr>
          <w:rFonts w:cs="Times New Roman"/>
        </w:rPr>
        <w:t>ranging from 8% (Kansas) and 15 percent</w:t>
      </w:r>
      <w:r w:rsidRPr="00F40195">
        <w:rPr>
          <w:rFonts w:cs="Times New Roman"/>
        </w:rPr>
        <w:t xml:space="preserve"> (Massachusetts)</w:t>
      </w:r>
    </w:p>
    <w:p w:rsidR="0005174E" w:rsidRPr="00F40195" w:rsidRDefault="0005174E" w:rsidP="00F40195">
      <w:pPr>
        <w:pStyle w:val="ListParagraph"/>
        <w:numPr>
          <w:ilvl w:val="0"/>
          <w:numId w:val="45"/>
        </w:numPr>
        <w:spacing w:line="240" w:lineRule="auto"/>
        <w:rPr>
          <w:rFonts w:cs="Times New Roman"/>
        </w:rPr>
      </w:pPr>
      <w:r w:rsidRPr="00F40195">
        <w:rPr>
          <w:rFonts w:cs="Times New Roman"/>
          <w:u w:val="single"/>
        </w:rPr>
        <w:t>Reading 4</w:t>
      </w:r>
      <w:r w:rsidRPr="00F40195">
        <w:rPr>
          <w:rFonts w:cs="Times New Roman"/>
          <w:u w:val="single"/>
          <w:vertAlign w:val="superscript"/>
        </w:rPr>
        <w:t>th</w:t>
      </w:r>
      <w:r w:rsidRPr="00F40195">
        <w:rPr>
          <w:rFonts w:cs="Times New Roman"/>
          <w:u w:val="single"/>
        </w:rPr>
        <w:t xml:space="preserve"> grade</w:t>
      </w:r>
      <w:r w:rsidR="00F72B94">
        <w:rPr>
          <w:rFonts w:cs="Times New Roman"/>
        </w:rPr>
        <w:t>: 23 percent</w:t>
      </w:r>
      <w:r w:rsidRPr="00F40195">
        <w:rPr>
          <w:rFonts w:cs="Times New Roman"/>
        </w:rPr>
        <w:t xml:space="preserve"> of Kentucky’s F/R PL students scored at or above proficient—this w</w:t>
      </w:r>
      <w:r w:rsidR="00F72B94">
        <w:rPr>
          <w:rFonts w:cs="Times New Roman"/>
        </w:rPr>
        <w:t>as equal to Minnesota and was 1 pecent</w:t>
      </w:r>
      <w:r w:rsidRPr="00F40195">
        <w:rPr>
          <w:rFonts w:cs="Times New Roman"/>
        </w:rPr>
        <w:t xml:space="preserve"> above Kansas and New Jersey but trailed Massachusetts, New Hampshire and Vermont</w:t>
      </w:r>
    </w:p>
    <w:p w:rsidR="0005174E" w:rsidRPr="00F40195" w:rsidRDefault="0005174E" w:rsidP="00F40195">
      <w:pPr>
        <w:pStyle w:val="ListParagraph"/>
        <w:numPr>
          <w:ilvl w:val="0"/>
          <w:numId w:val="45"/>
        </w:numPr>
        <w:spacing w:line="240" w:lineRule="auto"/>
        <w:rPr>
          <w:rFonts w:cs="Times New Roman"/>
        </w:rPr>
      </w:pPr>
      <w:r w:rsidRPr="00F40195">
        <w:rPr>
          <w:rFonts w:cs="Times New Roman"/>
          <w:u w:val="single"/>
        </w:rPr>
        <w:t>Reading 8</w:t>
      </w:r>
      <w:r w:rsidRPr="00F40195">
        <w:rPr>
          <w:rFonts w:cs="Times New Roman"/>
          <w:u w:val="single"/>
          <w:vertAlign w:val="superscript"/>
        </w:rPr>
        <w:t>th</w:t>
      </w:r>
      <w:r w:rsidRPr="00F40195">
        <w:rPr>
          <w:rFonts w:cs="Times New Roman"/>
          <w:u w:val="single"/>
        </w:rPr>
        <w:t xml:space="preserve"> grade</w:t>
      </w:r>
      <w:r w:rsidR="00F72B94">
        <w:rPr>
          <w:rFonts w:cs="Times New Roman"/>
        </w:rPr>
        <w:t>: 25 percent</w:t>
      </w:r>
      <w:r w:rsidRPr="00F40195">
        <w:rPr>
          <w:rFonts w:cs="Times New Roman"/>
        </w:rPr>
        <w:t xml:space="preserve"> of Kentucky’s F/R PL students scored at or above proficient—this w</w:t>
      </w:r>
      <w:r w:rsidR="00F72B94">
        <w:rPr>
          <w:rFonts w:cs="Times New Roman"/>
        </w:rPr>
        <w:t>as equal to New Hampshire and 3 percent</w:t>
      </w:r>
      <w:r w:rsidRPr="00F40195">
        <w:rPr>
          <w:rFonts w:cs="Times New Roman"/>
        </w:rPr>
        <w:t xml:space="preserve"> ahead of Kansas and Minnesota but trailed Massachusetts, New Jersey and Vermont</w:t>
      </w:r>
    </w:p>
    <w:p w:rsidR="0005174E" w:rsidRPr="00F40195" w:rsidRDefault="0005174E" w:rsidP="00F40195">
      <w:pPr>
        <w:spacing w:line="240" w:lineRule="auto"/>
        <w:rPr>
          <w:rFonts w:cs="Times New Roman"/>
          <w:b/>
        </w:rPr>
      </w:pPr>
    </w:p>
    <w:p w:rsidR="003B0CF5" w:rsidRDefault="003B0CF5" w:rsidP="003B0CF5">
      <w:pPr>
        <w:spacing w:line="240" w:lineRule="auto"/>
        <w:jc w:val="center"/>
        <w:rPr>
          <w:rFonts w:cs="Times New Roman"/>
          <w:b/>
        </w:rPr>
      </w:pPr>
      <w:r>
        <w:rPr>
          <w:rFonts w:cs="Times New Roman"/>
          <w:b/>
        </w:rPr>
        <w:t>Table 1.B</w:t>
      </w:r>
    </w:p>
    <w:p w:rsidR="0005174E" w:rsidRDefault="0005174E" w:rsidP="003B0CF5">
      <w:pPr>
        <w:spacing w:line="240" w:lineRule="auto"/>
        <w:jc w:val="center"/>
        <w:rPr>
          <w:rFonts w:cs="Times New Roman"/>
          <w:b/>
        </w:rPr>
      </w:pPr>
      <w:r w:rsidRPr="00F40195">
        <w:rPr>
          <w:rFonts w:cs="Times New Roman"/>
          <w:b/>
        </w:rPr>
        <w:t>Percentage of F</w:t>
      </w:r>
      <w:r w:rsidR="003B0CF5">
        <w:rPr>
          <w:rFonts w:cs="Times New Roman"/>
          <w:b/>
        </w:rPr>
        <w:t xml:space="preserve">ree and Reduced Lunch Students </w:t>
      </w:r>
      <w:r w:rsidRPr="00F40195">
        <w:rPr>
          <w:rFonts w:cs="Times New Roman"/>
          <w:b/>
        </w:rPr>
        <w:t>Scoring “At or Above Proficient” on 2013 NAEP Exams</w:t>
      </w:r>
    </w:p>
    <w:p w:rsidR="003B0CF5" w:rsidRPr="00F40195" w:rsidRDefault="003B0CF5" w:rsidP="00F40195">
      <w:pPr>
        <w:spacing w:line="240" w:lineRule="auto"/>
        <w:rPr>
          <w:rFonts w:cs="Times New Roman"/>
          <w:b/>
        </w:rPr>
      </w:pPr>
    </w:p>
    <w:tbl>
      <w:tblPr>
        <w:tblStyle w:val="TableGrid"/>
        <w:tblW w:w="0" w:type="auto"/>
        <w:tblLook w:val="04A0" w:firstRow="1" w:lastRow="0" w:firstColumn="1" w:lastColumn="0" w:noHBand="0" w:noVBand="1"/>
      </w:tblPr>
      <w:tblGrid>
        <w:gridCol w:w="1759"/>
        <w:gridCol w:w="1892"/>
        <w:gridCol w:w="1893"/>
        <w:gridCol w:w="1656"/>
        <w:gridCol w:w="1656"/>
      </w:tblGrid>
      <w:tr w:rsidR="0005174E" w:rsidRPr="00F40195" w:rsidTr="00667CC1">
        <w:tc>
          <w:tcPr>
            <w:tcW w:w="1759" w:type="dxa"/>
            <w:vMerge w:val="restart"/>
            <w:vAlign w:val="center"/>
          </w:tcPr>
          <w:p w:rsidR="0005174E" w:rsidRPr="00F40195" w:rsidRDefault="0005174E" w:rsidP="00F40195">
            <w:pPr>
              <w:jc w:val="center"/>
            </w:pPr>
            <w:r w:rsidRPr="00F40195">
              <w:t>State</w:t>
            </w:r>
          </w:p>
        </w:tc>
        <w:tc>
          <w:tcPr>
            <w:tcW w:w="3785" w:type="dxa"/>
            <w:gridSpan w:val="2"/>
            <w:tcBorders>
              <w:bottom w:val="single" w:sz="4" w:space="0" w:color="auto"/>
            </w:tcBorders>
            <w:vAlign w:val="center"/>
          </w:tcPr>
          <w:p w:rsidR="0005174E" w:rsidRPr="00F40195" w:rsidRDefault="0005174E" w:rsidP="00F40195">
            <w:pPr>
              <w:jc w:val="center"/>
            </w:pPr>
            <w:r w:rsidRPr="00F40195">
              <w:t xml:space="preserve">Math </w:t>
            </w:r>
          </w:p>
        </w:tc>
        <w:tc>
          <w:tcPr>
            <w:tcW w:w="3312" w:type="dxa"/>
            <w:gridSpan w:val="2"/>
            <w:tcBorders>
              <w:bottom w:val="single" w:sz="4" w:space="0" w:color="auto"/>
            </w:tcBorders>
          </w:tcPr>
          <w:p w:rsidR="0005174E" w:rsidRPr="00F40195" w:rsidRDefault="0005174E" w:rsidP="00F40195">
            <w:pPr>
              <w:jc w:val="center"/>
            </w:pPr>
            <w:r w:rsidRPr="00F40195">
              <w:t>Reading</w:t>
            </w:r>
          </w:p>
        </w:tc>
      </w:tr>
      <w:tr w:rsidR="0005174E" w:rsidRPr="00F40195" w:rsidTr="00667CC1">
        <w:tc>
          <w:tcPr>
            <w:tcW w:w="1759" w:type="dxa"/>
            <w:vMerge/>
            <w:tcBorders>
              <w:bottom w:val="thinThickSmallGap" w:sz="24" w:space="0" w:color="auto"/>
            </w:tcBorders>
            <w:vAlign w:val="center"/>
          </w:tcPr>
          <w:p w:rsidR="0005174E" w:rsidRPr="00F40195" w:rsidRDefault="0005174E" w:rsidP="00F40195">
            <w:pPr>
              <w:jc w:val="center"/>
            </w:pPr>
          </w:p>
        </w:tc>
        <w:tc>
          <w:tcPr>
            <w:tcW w:w="1892" w:type="dxa"/>
            <w:tcBorders>
              <w:bottom w:val="thinThickSmallGap" w:sz="24" w:space="0" w:color="auto"/>
            </w:tcBorders>
            <w:vAlign w:val="center"/>
          </w:tcPr>
          <w:p w:rsidR="0005174E" w:rsidRPr="00F40195" w:rsidRDefault="0005174E" w:rsidP="00F40195">
            <w:pPr>
              <w:jc w:val="center"/>
            </w:pPr>
            <w:r w:rsidRPr="00F40195">
              <w:t>4</w:t>
            </w:r>
            <w:r w:rsidRPr="00F40195">
              <w:rPr>
                <w:vertAlign w:val="superscript"/>
              </w:rPr>
              <w:t>th</w:t>
            </w:r>
            <w:r w:rsidRPr="00F40195">
              <w:t xml:space="preserve"> Grade</w:t>
            </w:r>
          </w:p>
        </w:tc>
        <w:tc>
          <w:tcPr>
            <w:tcW w:w="1893" w:type="dxa"/>
            <w:tcBorders>
              <w:bottom w:val="thinThickSmallGap" w:sz="24" w:space="0" w:color="auto"/>
            </w:tcBorders>
            <w:vAlign w:val="center"/>
          </w:tcPr>
          <w:p w:rsidR="0005174E" w:rsidRPr="00F40195" w:rsidRDefault="0005174E" w:rsidP="00F40195">
            <w:pPr>
              <w:jc w:val="center"/>
            </w:pPr>
            <w:r w:rsidRPr="00F40195">
              <w:t>8</w:t>
            </w:r>
            <w:r w:rsidRPr="00F40195">
              <w:rPr>
                <w:vertAlign w:val="superscript"/>
              </w:rPr>
              <w:t>th</w:t>
            </w:r>
            <w:r w:rsidRPr="00F40195">
              <w:t xml:space="preserve"> Grade</w:t>
            </w:r>
          </w:p>
        </w:tc>
        <w:tc>
          <w:tcPr>
            <w:tcW w:w="1656" w:type="dxa"/>
            <w:tcBorders>
              <w:bottom w:val="thinThickSmallGap" w:sz="24" w:space="0" w:color="auto"/>
            </w:tcBorders>
          </w:tcPr>
          <w:p w:rsidR="0005174E" w:rsidRPr="00F40195" w:rsidRDefault="0005174E" w:rsidP="00F40195">
            <w:pPr>
              <w:jc w:val="center"/>
            </w:pPr>
            <w:r w:rsidRPr="00F40195">
              <w:t>4</w:t>
            </w:r>
            <w:r w:rsidRPr="00F40195">
              <w:rPr>
                <w:vertAlign w:val="superscript"/>
              </w:rPr>
              <w:t>th</w:t>
            </w:r>
            <w:r w:rsidRPr="00F40195">
              <w:t xml:space="preserve"> Grade</w:t>
            </w:r>
          </w:p>
        </w:tc>
        <w:tc>
          <w:tcPr>
            <w:tcW w:w="1656" w:type="dxa"/>
            <w:tcBorders>
              <w:bottom w:val="thinThickSmallGap" w:sz="24" w:space="0" w:color="auto"/>
            </w:tcBorders>
          </w:tcPr>
          <w:p w:rsidR="0005174E" w:rsidRPr="00F40195" w:rsidRDefault="0005174E" w:rsidP="00F40195">
            <w:pPr>
              <w:jc w:val="center"/>
            </w:pPr>
            <w:r w:rsidRPr="00F40195">
              <w:t>8</w:t>
            </w:r>
            <w:r w:rsidRPr="00F40195">
              <w:rPr>
                <w:vertAlign w:val="superscript"/>
              </w:rPr>
              <w:t>th</w:t>
            </w:r>
            <w:r w:rsidRPr="00F40195">
              <w:t xml:space="preserve"> Grade</w:t>
            </w:r>
          </w:p>
        </w:tc>
      </w:tr>
      <w:tr w:rsidR="0005174E" w:rsidRPr="00F40195" w:rsidTr="00667CC1">
        <w:tc>
          <w:tcPr>
            <w:tcW w:w="175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18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28%</w:t>
            </w:r>
          </w:p>
        </w:tc>
        <w:tc>
          <w:tcPr>
            <w:tcW w:w="1893"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16%</w:t>
            </w:r>
          </w:p>
        </w:tc>
        <w:tc>
          <w:tcPr>
            <w:tcW w:w="1656"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23%</w:t>
            </w:r>
          </w:p>
        </w:tc>
        <w:tc>
          <w:tcPr>
            <w:tcW w:w="1656"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25%</w:t>
            </w:r>
          </w:p>
        </w:tc>
      </w:tr>
      <w:tr w:rsidR="0005174E" w:rsidRPr="00F40195" w:rsidTr="00667CC1">
        <w:tc>
          <w:tcPr>
            <w:tcW w:w="1759" w:type="dxa"/>
            <w:tcBorders>
              <w:top w:val="thinThickSmallGap" w:sz="24" w:space="0" w:color="auto"/>
            </w:tcBorders>
            <w:vAlign w:val="center"/>
          </w:tcPr>
          <w:p w:rsidR="0005174E" w:rsidRPr="00F40195" w:rsidRDefault="0005174E" w:rsidP="00F40195">
            <w:pPr>
              <w:jc w:val="center"/>
            </w:pPr>
            <w:r w:rsidRPr="00F40195">
              <w:t>Kansas</w:t>
            </w:r>
          </w:p>
        </w:tc>
        <w:tc>
          <w:tcPr>
            <w:tcW w:w="1892" w:type="dxa"/>
            <w:tcBorders>
              <w:top w:val="thinThickSmallGap" w:sz="24" w:space="0" w:color="auto"/>
            </w:tcBorders>
            <w:vAlign w:val="center"/>
          </w:tcPr>
          <w:p w:rsidR="0005174E" w:rsidRPr="00F40195" w:rsidRDefault="0005174E" w:rsidP="00F40195">
            <w:pPr>
              <w:jc w:val="center"/>
            </w:pPr>
            <w:r w:rsidRPr="00F40195">
              <w:t>33%</w:t>
            </w:r>
          </w:p>
        </w:tc>
        <w:tc>
          <w:tcPr>
            <w:tcW w:w="1893" w:type="dxa"/>
            <w:tcBorders>
              <w:top w:val="thinThickSmallGap" w:sz="24" w:space="0" w:color="auto"/>
            </w:tcBorders>
          </w:tcPr>
          <w:p w:rsidR="0005174E" w:rsidRPr="00F40195" w:rsidRDefault="0005174E" w:rsidP="00F40195">
            <w:pPr>
              <w:jc w:val="center"/>
            </w:pPr>
            <w:r w:rsidRPr="00F40195">
              <w:t>24%</w:t>
            </w:r>
          </w:p>
        </w:tc>
        <w:tc>
          <w:tcPr>
            <w:tcW w:w="1656" w:type="dxa"/>
            <w:tcBorders>
              <w:top w:val="thinThickSmallGap" w:sz="24" w:space="0" w:color="auto"/>
            </w:tcBorders>
          </w:tcPr>
          <w:p w:rsidR="0005174E" w:rsidRPr="00F40195" w:rsidRDefault="0005174E" w:rsidP="00F40195">
            <w:pPr>
              <w:jc w:val="center"/>
              <w:rPr>
                <w:color w:val="FF0000"/>
              </w:rPr>
            </w:pPr>
            <w:r w:rsidRPr="00F40195">
              <w:rPr>
                <w:color w:val="FF0000"/>
              </w:rPr>
              <w:t>22%</w:t>
            </w:r>
          </w:p>
        </w:tc>
        <w:tc>
          <w:tcPr>
            <w:tcW w:w="1656" w:type="dxa"/>
            <w:tcBorders>
              <w:top w:val="thinThickSmallGap" w:sz="24" w:space="0" w:color="auto"/>
            </w:tcBorders>
          </w:tcPr>
          <w:p w:rsidR="0005174E" w:rsidRPr="00F40195" w:rsidRDefault="0005174E" w:rsidP="00F40195">
            <w:pPr>
              <w:jc w:val="center"/>
              <w:rPr>
                <w:color w:val="FF0000"/>
              </w:rPr>
            </w:pPr>
            <w:r w:rsidRPr="00F40195">
              <w:rPr>
                <w:color w:val="FF0000"/>
              </w:rPr>
              <w:t>22%</w:t>
            </w:r>
          </w:p>
        </w:tc>
      </w:tr>
      <w:tr w:rsidR="0005174E" w:rsidRPr="00F40195" w:rsidTr="00667CC1">
        <w:tc>
          <w:tcPr>
            <w:tcW w:w="1759" w:type="dxa"/>
            <w:vAlign w:val="center"/>
          </w:tcPr>
          <w:p w:rsidR="0005174E" w:rsidRPr="00F40195" w:rsidRDefault="0005174E" w:rsidP="00F40195">
            <w:pPr>
              <w:jc w:val="center"/>
            </w:pPr>
            <w:r w:rsidRPr="00F40195">
              <w:t>Massachusetts</w:t>
            </w:r>
          </w:p>
        </w:tc>
        <w:tc>
          <w:tcPr>
            <w:tcW w:w="1892" w:type="dxa"/>
            <w:vAlign w:val="center"/>
          </w:tcPr>
          <w:p w:rsidR="0005174E" w:rsidRPr="00F40195" w:rsidRDefault="0005174E" w:rsidP="00F40195">
            <w:pPr>
              <w:jc w:val="center"/>
            </w:pPr>
            <w:r w:rsidRPr="00F40195">
              <w:t>35%</w:t>
            </w:r>
          </w:p>
        </w:tc>
        <w:tc>
          <w:tcPr>
            <w:tcW w:w="1893" w:type="dxa"/>
          </w:tcPr>
          <w:p w:rsidR="0005174E" w:rsidRPr="00F40195" w:rsidRDefault="0005174E" w:rsidP="00F40195">
            <w:pPr>
              <w:jc w:val="center"/>
            </w:pPr>
            <w:r w:rsidRPr="00F40195">
              <w:t>31%</w:t>
            </w:r>
          </w:p>
        </w:tc>
        <w:tc>
          <w:tcPr>
            <w:tcW w:w="1656" w:type="dxa"/>
          </w:tcPr>
          <w:p w:rsidR="0005174E" w:rsidRPr="00F40195" w:rsidRDefault="0005174E" w:rsidP="00F40195">
            <w:pPr>
              <w:jc w:val="center"/>
            </w:pPr>
            <w:r w:rsidRPr="00F40195">
              <w:t>25%</w:t>
            </w:r>
          </w:p>
        </w:tc>
        <w:tc>
          <w:tcPr>
            <w:tcW w:w="1656" w:type="dxa"/>
          </w:tcPr>
          <w:p w:rsidR="0005174E" w:rsidRPr="00F40195" w:rsidRDefault="0005174E" w:rsidP="00F40195">
            <w:pPr>
              <w:jc w:val="center"/>
            </w:pPr>
            <w:r w:rsidRPr="00F40195">
              <w:t>28%</w:t>
            </w:r>
          </w:p>
        </w:tc>
      </w:tr>
      <w:tr w:rsidR="0005174E" w:rsidRPr="00F40195" w:rsidTr="00667CC1">
        <w:tc>
          <w:tcPr>
            <w:tcW w:w="1759" w:type="dxa"/>
            <w:vAlign w:val="center"/>
          </w:tcPr>
          <w:p w:rsidR="0005174E" w:rsidRPr="00F40195" w:rsidRDefault="0005174E" w:rsidP="00F40195">
            <w:pPr>
              <w:jc w:val="center"/>
            </w:pPr>
            <w:r w:rsidRPr="00F40195">
              <w:t>Minnesota</w:t>
            </w:r>
          </w:p>
        </w:tc>
        <w:tc>
          <w:tcPr>
            <w:tcW w:w="1892" w:type="dxa"/>
            <w:vAlign w:val="center"/>
          </w:tcPr>
          <w:p w:rsidR="0005174E" w:rsidRPr="00F40195" w:rsidRDefault="0005174E" w:rsidP="00F40195">
            <w:pPr>
              <w:jc w:val="center"/>
            </w:pPr>
            <w:r w:rsidRPr="00F40195">
              <w:t>37%</w:t>
            </w:r>
          </w:p>
        </w:tc>
        <w:tc>
          <w:tcPr>
            <w:tcW w:w="1893" w:type="dxa"/>
          </w:tcPr>
          <w:p w:rsidR="0005174E" w:rsidRPr="00F40195" w:rsidRDefault="0005174E" w:rsidP="00F40195">
            <w:pPr>
              <w:jc w:val="center"/>
            </w:pPr>
            <w:r w:rsidRPr="00F40195">
              <w:t>25%</w:t>
            </w:r>
          </w:p>
        </w:tc>
        <w:tc>
          <w:tcPr>
            <w:tcW w:w="1656" w:type="dxa"/>
          </w:tcPr>
          <w:p w:rsidR="0005174E" w:rsidRPr="00F40195" w:rsidRDefault="0005174E" w:rsidP="00F40195">
            <w:pPr>
              <w:jc w:val="center"/>
              <w:rPr>
                <w:color w:val="FF0000"/>
              </w:rPr>
            </w:pPr>
            <w:r w:rsidRPr="00F40195">
              <w:rPr>
                <w:color w:val="FF0000"/>
              </w:rPr>
              <w:t>23%</w:t>
            </w:r>
          </w:p>
        </w:tc>
        <w:tc>
          <w:tcPr>
            <w:tcW w:w="1656" w:type="dxa"/>
          </w:tcPr>
          <w:p w:rsidR="0005174E" w:rsidRPr="00F40195" w:rsidRDefault="0005174E" w:rsidP="00F40195">
            <w:pPr>
              <w:jc w:val="center"/>
              <w:rPr>
                <w:color w:val="FF0000"/>
              </w:rPr>
            </w:pPr>
            <w:r w:rsidRPr="00F40195">
              <w:rPr>
                <w:color w:val="FF0000"/>
              </w:rPr>
              <w:t>22%</w:t>
            </w:r>
          </w:p>
        </w:tc>
      </w:tr>
      <w:tr w:rsidR="0005174E" w:rsidRPr="00F40195" w:rsidTr="00667CC1">
        <w:tc>
          <w:tcPr>
            <w:tcW w:w="1759" w:type="dxa"/>
            <w:vAlign w:val="center"/>
          </w:tcPr>
          <w:p w:rsidR="0005174E" w:rsidRPr="00F40195" w:rsidRDefault="0005174E" w:rsidP="00F40195">
            <w:pPr>
              <w:ind w:right="-77"/>
              <w:jc w:val="center"/>
            </w:pPr>
            <w:r w:rsidRPr="00F40195">
              <w:t>New Hampshire</w:t>
            </w:r>
          </w:p>
        </w:tc>
        <w:tc>
          <w:tcPr>
            <w:tcW w:w="1892" w:type="dxa"/>
            <w:vAlign w:val="center"/>
          </w:tcPr>
          <w:p w:rsidR="0005174E" w:rsidRPr="00F40195" w:rsidRDefault="0005174E" w:rsidP="00F40195">
            <w:pPr>
              <w:jc w:val="center"/>
            </w:pPr>
            <w:r w:rsidRPr="00F40195">
              <w:t>38%</w:t>
            </w:r>
          </w:p>
        </w:tc>
        <w:tc>
          <w:tcPr>
            <w:tcW w:w="1893" w:type="dxa"/>
          </w:tcPr>
          <w:p w:rsidR="0005174E" w:rsidRPr="00F40195" w:rsidRDefault="0005174E" w:rsidP="00F40195">
            <w:pPr>
              <w:jc w:val="center"/>
            </w:pPr>
            <w:r w:rsidRPr="00F40195">
              <w:t>27%</w:t>
            </w:r>
          </w:p>
        </w:tc>
        <w:tc>
          <w:tcPr>
            <w:tcW w:w="1656" w:type="dxa"/>
          </w:tcPr>
          <w:p w:rsidR="0005174E" w:rsidRPr="00F40195" w:rsidRDefault="0005174E" w:rsidP="00F40195">
            <w:pPr>
              <w:jc w:val="center"/>
            </w:pPr>
            <w:r w:rsidRPr="00F40195">
              <w:t>24%</w:t>
            </w:r>
          </w:p>
        </w:tc>
        <w:tc>
          <w:tcPr>
            <w:tcW w:w="1656" w:type="dxa"/>
          </w:tcPr>
          <w:p w:rsidR="0005174E" w:rsidRPr="00F40195" w:rsidRDefault="0005174E" w:rsidP="00F40195">
            <w:pPr>
              <w:jc w:val="center"/>
              <w:rPr>
                <w:color w:val="FF0000"/>
              </w:rPr>
            </w:pPr>
            <w:r w:rsidRPr="00F40195">
              <w:rPr>
                <w:color w:val="FF0000"/>
              </w:rPr>
              <w:t>25%</w:t>
            </w:r>
          </w:p>
        </w:tc>
      </w:tr>
      <w:tr w:rsidR="0005174E" w:rsidRPr="00F40195" w:rsidTr="00667CC1">
        <w:tc>
          <w:tcPr>
            <w:tcW w:w="1759" w:type="dxa"/>
            <w:vAlign w:val="center"/>
          </w:tcPr>
          <w:p w:rsidR="0005174E" w:rsidRPr="00F40195" w:rsidRDefault="0005174E" w:rsidP="00F40195">
            <w:pPr>
              <w:jc w:val="center"/>
            </w:pPr>
            <w:r w:rsidRPr="00F40195">
              <w:t>New Jersey</w:t>
            </w:r>
          </w:p>
        </w:tc>
        <w:tc>
          <w:tcPr>
            <w:tcW w:w="1892" w:type="dxa"/>
            <w:vAlign w:val="center"/>
          </w:tcPr>
          <w:p w:rsidR="0005174E" w:rsidRPr="00F40195" w:rsidRDefault="0005174E" w:rsidP="00F40195">
            <w:pPr>
              <w:jc w:val="center"/>
              <w:rPr>
                <w:color w:val="FF0000"/>
              </w:rPr>
            </w:pPr>
            <w:r w:rsidRPr="00F40195">
              <w:rPr>
                <w:color w:val="FF0000"/>
              </w:rPr>
              <w:t>28%</w:t>
            </w:r>
          </w:p>
        </w:tc>
        <w:tc>
          <w:tcPr>
            <w:tcW w:w="1893" w:type="dxa"/>
          </w:tcPr>
          <w:p w:rsidR="0005174E" w:rsidRPr="00F40195" w:rsidRDefault="0005174E" w:rsidP="00F40195">
            <w:pPr>
              <w:jc w:val="center"/>
            </w:pPr>
            <w:r w:rsidRPr="00F40195">
              <w:t>28%</w:t>
            </w:r>
          </w:p>
        </w:tc>
        <w:tc>
          <w:tcPr>
            <w:tcW w:w="1656" w:type="dxa"/>
          </w:tcPr>
          <w:p w:rsidR="0005174E" w:rsidRPr="00F40195" w:rsidRDefault="0005174E" w:rsidP="00F40195">
            <w:pPr>
              <w:jc w:val="center"/>
              <w:rPr>
                <w:color w:val="FF0000"/>
              </w:rPr>
            </w:pPr>
            <w:r w:rsidRPr="00F40195">
              <w:rPr>
                <w:color w:val="FF0000"/>
              </w:rPr>
              <w:t>22%</w:t>
            </w:r>
          </w:p>
        </w:tc>
        <w:tc>
          <w:tcPr>
            <w:tcW w:w="1656" w:type="dxa"/>
          </w:tcPr>
          <w:p w:rsidR="0005174E" w:rsidRPr="00F40195" w:rsidRDefault="0005174E" w:rsidP="00F40195">
            <w:pPr>
              <w:jc w:val="center"/>
            </w:pPr>
            <w:r w:rsidRPr="00F40195">
              <w:t>26%</w:t>
            </w:r>
          </w:p>
        </w:tc>
      </w:tr>
      <w:tr w:rsidR="0005174E" w:rsidRPr="00F40195" w:rsidTr="00667CC1">
        <w:tc>
          <w:tcPr>
            <w:tcW w:w="1759" w:type="dxa"/>
            <w:vAlign w:val="center"/>
          </w:tcPr>
          <w:p w:rsidR="0005174E" w:rsidRPr="00F40195" w:rsidRDefault="0005174E" w:rsidP="00F40195">
            <w:pPr>
              <w:jc w:val="center"/>
            </w:pPr>
            <w:r w:rsidRPr="00F40195">
              <w:t>Vermont</w:t>
            </w:r>
          </w:p>
        </w:tc>
        <w:tc>
          <w:tcPr>
            <w:tcW w:w="1892" w:type="dxa"/>
            <w:vAlign w:val="center"/>
          </w:tcPr>
          <w:p w:rsidR="0005174E" w:rsidRPr="00F40195" w:rsidRDefault="0005174E" w:rsidP="00F40195">
            <w:pPr>
              <w:jc w:val="center"/>
            </w:pPr>
            <w:r w:rsidRPr="00F40195">
              <w:t>35%</w:t>
            </w:r>
          </w:p>
        </w:tc>
        <w:tc>
          <w:tcPr>
            <w:tcW w:w="1893" w:type="dxa"/>
          </w:tcPr>
          <w:p w:rsidR="0005174E" w:rsidRPr="00F40195" w:rsidRDefault="0005174E" w:rsidP="00F40195">
            <w:pPr>
              <w:jc w:val="center"/>
            </w:pPr>
            <w:r w:rsidRPr="00F40195">
              <w:t>27%</w:t>
            </w:r>
          </w:p>
        </w:tc>
        <w:tc>
          <w:tcPr>
            <w:tcW w:w="1656" w:type="dxa"/>
          </w:tcPr>
          <w:p w:rsidR="0005174E" w:rsidRPr="00F40195" w:rsidRDefault="0005174E" w:rsidP="00F40195">
            <w:pPr>
              <w:jc w:val="center"/>
            </w:pPr>
            <w:r w:rsidRPr="00F40195">
              <w:t>26%</w:t>
            </w:r>
          </w:p>
        </w:tc>
        <w:tc>
          <w:tcPr>
            <w:tcW w:w="1656" w:type="dxa"/>
          </w:tcPr>
          <w:p w:rsidR="0005174E" w:rsidRPr="00F40195" w:rsidRDefault="0005174E" w:rsidP="00F40195">
            <w:pPr>
              <w:jc w:val="center"/>
            </w:pPr>
            <w:r w:rsidRPr="00F40195">
              <w:t>28%</w:t>
            </w:r>
          </w:p>
        </w:tc>
      </w:tr>
    </w:tbl>
    <w:p w:rsidR="0005174E" w:rsidRPr="00F40195" w:rsidRDefault="0005174E" w:rsidP="00F40195">
      <w:pPr>
        <w:spacing w:line="240" w:lineRule="auto"/>
        <w:rPr>
          <w:rFonts w:cs="Times New Roman"/>
          <w:sz w:val="20"/>
          <w:szCs w:val="20"/>
        </w:rPr>
      </w:pPr>
      <w:r w:rsidRPr="00F40195">
        <w:rPr>
          <w:rFonts w:cs="Times New Roman"/>
          <w:sz w:val="20"/>
          <w:szCs w:val="20"/>
        </w:rPr>
        <w:t>Source: U.S. Department of Education</w:t>
      </w:r>
    </w:p>
    <w:p w:rsidR="0005174E" w:rsidRPr="00F40195" w:rsidRDefault="0005174E" w:rsidP="00F40195">
      <w:pPr>
        <w:spacing w:line="240" w:lineRule="auto"/>
        <w:rPr>
          <w:rFonts w:cs="Times New Roman"/>
        </w:rPr>
      </w:pPr>
    </w:p>
    <w:p w:rsidR="0005174E" w:rsidRPr="00F40195" w:rsidRDefault="0005174E" w:rsidP="00F40195">
      <w:pPr>
        <w:spacing w:line="240" w:lineRule="auto"/>
        <w:rPr>
          <w:rFonts w:cs="Times New Roman"/>
          <w:b/>
          <w:u w:val="single"/>
        </w:rPr>
      </w:pPr>
      <w:r w:rsidRPr="00F40195">
        <w:rPr>
          <w:rFonts w:cs="Times New Roman"/>
          <w:b/>
          <w:u w:val="single"/>
        </w:rPr>
        <w:t>English Language Learner NAEP Scores</w:t>
      </w:r>
    </w:p>
    <w:p w:rsidR="0005174E" w:rsidRPr="00F40195" w:rsidRDefault="0005174E" w:rsidP="00F40195">
      <w:pPr>
        <w:spacing w:line="240" w:lineRule="auto"/>
        <w:rPr>
          <w:rFonts w:cs="Times New Roman"/>
          <w:color w:val="000000"/>
        </w:rPr>
      </w:pPr>
      <w:r w:rsidRPr="00F40195">
        <w:rPr>
          <w:rFonts w:cs="Times New Roman"/>
        </w:rPr>
        <w:t xml:space="preserve">Comparing NAEP results for English Language Learner (ELL) students can be difficult because some states had </w:t>
      </w:r>
      <w:r w:rsidRPr="00F40195">
        <w:rPr>
          <w:rFonts w:cs="Times New Roman"/>
          <w:color w:val="000000"/>
        </w:rPr>
        <w:t>sample sizes that are insufficient for reliable results. Vermont had insufficient sample sizes for both math and reading in the 4</w:t>
      </w:r>
      <w:r w:rsidRPr="00F40195">
        <w:rPr>
          <w:rFonts w:cs="Times New Roman"/>
          <w:color w:val="000000"/>
          <w:vertAlign w:val="superscript"/>
        </w:rPr>
        <w:t>th</w:t>
      </w:r>
      <w:r w:rsidRPr="00F40195">
        <w:rPr>
          <w:rFonts w:cs="Times New Roman"/>
          <w:color w:val="000000"/>
        </w:rPr>
        <w:t xml:space="preserve"> &amp; 8</w:t>
      </w:r>
      <w:r w:rsidRPr="00F40195">
        <w:rPr>
          <w:rFonts w:cs="Times New Roman"/>
          <w:color w:val="000000"/>
          <w:vertAlign w:val="superscript"/>
        </w:rPr>
        <w:t>th</w:t>
      </w:r>
      <w:r w:rsidRPr="00F40195">
        <w:rPr>
          <w:rFonts w:cs="Times New Roman"/>
          <w:color w:val="000000"/>
        </w:rPr>
        <w:t xml:space="preserve"> grades and New Hampshire and New Jersey had insufficient sample sizes for 8</w:t>
      </w:r>
      <w:r w:rsidRPr="00F40195">
        <w:rPr>
          <w:rFonts w:cs="Times New Roman"/>
          <w:color w:val="000000"/>
          <w:vertAlign w:val="superscript"/>
        </w:rPr>
        <w:t>th</w:t>
      </w:r>
      <w:r w:rsidRPr="00F40195">
        <w:rPr>
          <w:rFonts w:cs="Times New Roman"/>
          <w:color w:val="000000"/>
        </w:rPr>
        <w:t xml:space="preserve"> grade reading and math. Kentucky had mixed results compared to the high achieving states that did have sufficient sample sizes. </w:t>
      </w:r>
    </w:p>
    <w:p w:rsidR="0005174E" w:rsidRPr="00F40195" w:rsidRDefault="0005174E" w:rsidP="00F40195">
      <w:pPr>
        <w:pStyle w:val="ListParagraph"/>
        <w:numPr>
          <w:ilvl w:val="0"/>
          <w:numId w:val="46"/>
        </w:numPr>
        <w:spacing w:line="240" w:lineRule="auto"/>
        <w:rPr>
          <w:rFonts w:cs="Times New Roman"/>
          <w:color w:val="000000"/>
        </w:rPr>
      </w:pPr>
      <w:r w:rsidRPr="00F40195">
        <w:rPr>
          <w:rFonts w:cs="Times New Roman"/>
          <w:color w:val="000000"/>
        </w:rPr>
        <w:lastRenderedPageBreak/>
        <w:t>Math 4</w:t>
      </w:r>
      <w:r w:rsidRPr="00F40195">
        <w:rPr>
          <w:rFonts w:cs="Times New Roman"/>
          <w:color w:val="000000"/>
          <w:vertAlign w:val="superscript"/>
        </w:rPr>
        <w:t>th</w:t>
      </w:r>
      <w:r w:rsidRPr="00F40195">
        <w:rPr>
          <w:rFonts w:cs="Times New Roman"/>
          <w:color w:val="000000"/>
        </w:rPr>
        <w:t xml:space="preserve"> grade: 19% of Kentucky’s ELL students scored at or above proficient – this was a higher percentage than New Jersey and Minnesota but trailed Kansas, Massachusetts and New Hampshire</w:t>
      </w:r>
    </w:p>
    <w:p w:rsidR="0005174E" w:rsidRPr="00F40195" w:rsidRDefault="0005174E" w:rsidP="00F40195">
      <w:pPr>
        <w:pStyle w:val="ListParagraph"/>
        <w:numPr>
          <w:ilvl w:val="0"/>
          <w:numId w:val="46"/>
        </w:numPr>
        <w:spacing w:line="240" w:lineRule="auto"/>
        <w:rPr>
          <w:rFonts w:cs="Times New Roman"/>
          <w:color w:val="000000"/>
        </w:rPr>
      </w:pPr>
      <w:r w:rsidRPr="00F40195">
        <w:rPr>
          <w:rFonts w:cs="Times New Roman"/>
          <w:color w:val="000000"/>
        </w:rPr>
        <w:t>Math 8</w:t>
      </w:r>
      <w:r w:rsidRPr="00F40195">
        <w:rPr>
          <w:rFonts w:cs="Times New Roman"/>
          <w:color w:val="000000"/>
          <w:vertAlign w:val="superscript"/>
        </w:rPr>
        <w:t>th</w:t>
      </w:r>
      <w:r w:rsidR="00F72B94">
        <w:rPr>
          <w:rFonts w:cs="Times New Roman"/>
          <w:color w:val="000000"/>
        </w:rPr>
        <w:t xml:space="preserve"> grade: Only 1 percent</w:t>
      </w:r>
      <w:r w:rsidRPr="00F40195">
        <w:rPr>
          <w:rFonts w:cs="Times New Roman"/>
          <w:color w:val="000000"/>
        </w:rPr>
        <w:t xml:space="preserve"> of Kentucky’s ELL students scored at or above proficient on the 8</w:t>
      </w:r>
      <w:r w:rsidRPr="00F40195">
        <w:rPr>
          <w:rFonts w:cs="Times New Roman"/>
          <w:color w:val="000000"/>
          <w:vertAlign w:val="superscript"/>
        </w:rPr>
        <w:t>th</w:t>
      </w:r>
      <w:r w:rsidRPr="00F40195">
        <w:rPr>
          <w:rFonts w:cs="Times New Roman"/>
          <w:color w:val="000000"/>
        </w:rPr>
        <w:t xml:space="preserve"> grade math exam—this trailed results in Kansas, Massachusetts and Minnesota</w:t>
      </w:r>
    </w:p>
    <w:p w:rsidR="0005174E" w:rsidRPr="00F40195" w:rsidRDefault="0005174E" w:rsidP="00F40195">
      <w:pPr>
        <w:pStyle w:val="ListParagraph"/>
        <w:numPr>
          <w:ilvl w:val="0"/>
          <w:numId w:val="46"/>
        </w:numPr>
        <w:spacing w:line="240" w:lineRule="auto"/>
        <w:rPr>
          <w:rFonts w:cs="Times New Roman"/>
          <w:color w:val="000000"/>
        </w:rPr>
      </w:pPr>
      <w:r w:rsidRPr="00F40195">
        <w:rPr>
          <w:rFonts w:cs="Times New Roman"/>
          <w:color w:val="000000"/>
        </w:rPr>
        <w:t>Reading 4</w:t>
      </w:r>
      <w:r w:rsidRPr="00F40195">
        <w:rPr>
          <w:rFonts w:cs="Times New Roman"/>
          <w:color w:val="000000"/>
          <w:vertAlign w:val="superscript"/>
        </w:rPr>
        <w:t>th</w:t>
      </w:r>
      <w:r w:rsidR="00F72B94">
        <w:rPr>
          <w:rFonts w:cs="Times New Roman"/>
          <w:color w:val="000000"/>
        </w:rPr>
        <w:t xml:space="preserve"> grade: 11 percent</w:t>
      </w:r>
      <w:r w:rsidRPr="00F40195">
        <w:rPr>
          <w:rFonts w:cs="Times New Roman"/>
          <w:color w:val="000000"/>
        </w:rPr>
        <w:t xml:space="preserve"> of Kentucky’s ELL students scored at or above proficient—this was above three high achieving states (Minnesota, New Hampshire and New Jersey) and below two others (Kansas and Massachusetts)</w:t>
      </w:r>
    </w:p>
    <w:p w:rsidR="0005174E" w:rsidRPr="00F40195" w:rsidRDefault="0005174E" w:rsidP="00F40195">
      <w:pPr>
        <w:pStyle w:val="ListParagraph"/>
        <w:numPr>
          <w:ilvl w:val="0"/>
          <w:numId w:val="46"/>
        </w:numPr>
        <w:spacing w:line="240" w:lineRule="auto"/>
        <w:rPr>
          <w:rFonts w:cs="Times New Roman"/>
          <w:color w:val="000000"/>
        </w:rPr>
      </w:pPr>
      <w:r w:rsidRPr="00F40195">
        <w:rPr>
          <w:rFonts w:cs="Times New Roman"/>
          <w:color w:val="000000"/>
        </w:rPr>
        <w:t>Reading 8</w:t>
      </w:r>
      <w:r w:rsidRPr="00F40195">
        <w:rPr>
          <w:rFonts w:cs="Times New Roman"/>
          <w:color w:val="000000"/>
          <w:vertAlign w:val="superscript"/>
        </w:rPr>
        <w:t>th</w:t>
      </w:r>
      <w:r w:rsidR="00F72B94">
        <w:rPr>
          <w:rFonts w:cs="Times New Roman"/>
          <w:color w:val="000000"/>
        </w:rPr>
        <w:t xml:space="preserve"> grade: 5 percent</w:t>
      </w:r>
      <w:r w:rsidRPr="00F40195">
        <w:rPr>
          <w:rFonts w:cs="Times New Roman"/>
          <w:color w:val="000000"/>
        </w:rPr>
        <w:t xml:space="preserve"> of Kentucky’s ELL students scored at </w:t>
      </w:r>
      <w:r w:rsidR="00F72B94">
        <w:rPr>
          <w:rFonts w:cs="Times New Roman"/>
          <w:color w:val="000000"/>
        </w:rPr>
        <w:t>or above proficient which was 1 percent</w:t>
      </w:r>
      <w:r w:rsidRPr="00F40195">
        <w:rPr>
          <w:rFonts w:cs="Times New Roman"/>
          <w:color w:val="000000"/>
        </w:rPr>
        <w:t xml:space="preserve"> above Massachusetts but trailed </w:t>
      </w:r>
      <w:r w:rsidR="00F72B94">
        <w:rPr>
          <w:rFonts w:cs="Times New Roman"/>
          <w:color w:val="000000"/>
        </w:rPr>
        <w:t>Minnesota by 1% and Kansas by 8 percent</w:t>
      </w:r>
    </w:p>
    <w:p w:rsidR="0005174E" w:rsidRPr="00F40195" w:rsidRDefault="0005174E" w:rsidP="00F40195">
      <w:pPr>
        <w:spacing w:line="240" w:lineRule="auto"/>
        <w:rPr>
          <w:rFonts w:cs="Times New Roman"/>
          <w:b/>
        </w:rPr>
      </w:pPr>
    </w:p>
    <w:p w:rsidR="003B0CF5" w:rsidRDefault="003B0CF5" w:rsidP="003B0CF5">
      <w:pPr>
        <w:spacing w:line="240" w:lineRule="auto"/>
        <w:jc w:val="center"/>
        <w:rPr>
          <w:rFonts w:cs="Times New Roman"/>
          <w:b/>
        </w:rPr>
      </w:pPr>
      <w:r>
        <w:rPr>
          <w:rFonts w:cs="Times New Roman"/>
          <w:b/>
        </w:rPr>
        <w:t>Table 1.C</w:t>
      </w:r>
    </w:p>
    <w:p w:rsidR="0005174E" w:rsidRDefault="003B0CF5" w:rsidP="003B0CF5">
      <w:pPr>
        <w:spacing w:line="240" w:lineRule="auto"/>
        <w:jc w:val="center"/>
        <w:rPr>
          <w:rFonts w:cs="Times New Roman"/>
          <w:b/>
        </w:rPr>
      </w:pPr>
      <w:r>
        <w:rPr>
          <w:rFonts w:cs="Times New Roman"/>
          <w:b/>
        </w:rPr>
        <w:t xml:space="preserve">Percentage of ELL Students </w:t>
      </w:r>
      <w:r w:rsidR="0005174E" w:rsidRPr="00F40195">
        <w:rPr>
          <w:rFonts w:cs="Times New Roman"/>
          <w:b/>
        </w:rPr>
        <w:t>Scoring “At or Above Proficient” on 2013 NAEP Exams</w:t>
      </w:r>
    </w:p>
    <w:p w:rsidR="003B0CF5" w:rsidRPr="00F40195" w:rsidRDefault="003B0CF5" w:rsidP="00F40195">
      <w:pPr>
        <w:spacing w:line="240" w:lineRule="auto"/>
        <w:rPr>
          <w:rFonts w:cs="Times New Roman"/>
          <w:b/>
        </w:rPr>
      </w:pPr>
    </w:p>
    <w:tbl>
      <w:tblPr>
        <w:tblStyle w:val="TableGrid"/>
        <w:tblW w:w="0" w:type="auto"/>
        <w:tblLook w:val="04A0" w:firstRow="1" w:lastRow="0" w:firstColumn="1" w:lastColumn="0" w:noHBand="0" w:noVBand="1"/>
      </w:tblPr>
      <w:tblGrid>
        <w:gridCol w:w="1759"/>
        <w:gridCol w:w="1892"/>
        <w:gridCol w:w="1893"/>
        <w:gridCol w:w="1656"/>
        <w:gridCol w:w="1656"/>
      </w:tblGrid>
      <w:tr w:rsidR="0005174E" w:rsidRPr="00F40195" w:rsidTr="00667CC1">
        <w:tc>
          <w:tcPr>
            <w:tcW w:w="1759" w:type="dxa"/>
            <w:vMerge w:val="restart"/>
            <w:vAlign w:val="center"/>
          </w:tcPr>
          <w:p w:rsidR="0005174E" w:rsidRPr="00F40195" w:rsidRDefault="0005174E" w:rsidP="00F40195">
            <w:pPr>
              <w:jc w:val="center"/>
            </w:pPr>
            <w:r w:rsidRPr="00F40195">
              <w:t>State</w:t>
            </w:r>
          </w:p>
        </w:tc>
        <w:tc>
          <w:tcPr>
            <w:tcW w:w="3785" w:type="dxa"/>
            <w:gridSpan w:val="2"/>
            <w:tcBorders>
              <w:bottom w:val="single" w:sz="4" w:space="0" w:color="auto"/>
            </w:tcBorders>
            <w:vAlign w:val="center"/>
          </w:tcPr>
          <w:p w:rsidR="0005174E" w:rsidRPr="00F40195" w:rsidRDefault="0005174E" w:rsidP="00F40195">
            <w:pPr>
              <w:jc w:val="center"/>
            </w:pPr>
            <w:r w:rsidRPr="00F40195">
              <w:t xml:space="preserve">Math </w:t>
            </w:r>
          </w:p>
        </w:tc>
        <w:tc>
          <w:tcPr>
            <w:tcW w:w="3312" w:type="dxa"/>
            <w:gridSpan w:val="2"/>
            <w:tcBorders>
              <w:bottom w:val="single" w:sz="4" w:space="0" w:color="auto"/>
            </w:tcBorders>
          </w:tcPr>
          <w:p w:rsidR="0005174E" w:rsidRPr="00F40195" w:rsidRDefault="0005174E" w:rsidP="00F40195">
            <w:pPr>
              <w:jc w:val="center"/>
            </w:pPr>
            <w:r w:rsidRPr="00F40195">
              <w:t>Reading</w:t>
            </w:r>
          </w:p>
        </w:tc>
      </w:tr>
      <w:tr w:rsidR="0005174E" w:rsidRPr="00F40195" w:rsidTr="00667CC1">
        <w:tc>
          <w:tcPr>
            <w:tcW w:w="1759" w:type="dxa"/>
            <w:vMerge/>
            <w:tcBorders>
              <w:bottom w:val="thinThickSmallGap" w:sz="24" w:space="0" w:color="auto"/>
            </w:tcBorders>
            <w:vAlign w:val="center"/>
          </w:tcPr>
          <w:p w:rsidR="0005174E" w:rsidRPr="00F40195" w:rsidRDefault="0005174E" w:rsidP="00F40195">
            <w:pPr>
              <w:jc w:val="center"/>
            </w:pPr>
          </w:p>
        </w:tc>
        <w:tc>
          <w:tcPr>
            <w:tcW w:w="1892" w:type="dxa"/>
            <w:tcBorders>
              <w:bottom w:val="thinThickSmallGap" w:sz="24" w:space="0" w:color="auto"/>
            </w:tcBorders>
            <w:vAlign w:val="center"/>
          </w:tcPr>
          <w:p w:rsidR="0005174E" w:rsidRPr="00F40195" w:rsidRDefault="0005174E" w:rsidP="00F40195">
            <w:pPr>
              <w:jc w:val="center"/>
            </w:pPr>
            <w:r w:rsidRPr="00F40195">
              <w:t>4</w:t>
            </w:r>
            <w:r w:rsidRPr="00F40195">
              <w:rPr>
                <w:vertAlign w:val="superscript"/>
              </w:rPr>
              <w:t>th</w:t>
            </w:r>
            <w:r w:rsidRPr="00F40195">
              <w:t xml:space="preserve"> Grade</w:t>
            </w:r>
          </w:p>
        </w:tc>
        <w:tc>
          <w:tcPr>
            <w:tcW w:w="1893" w:type="dxa"/>
            <w:tcBorders>
              <w:bottom w:val="thinThickSmallGap" w:sz="24" w:space="0" w:color="auto"/>
            </w:tcBorders>
            <w:vAlign w:val="center"/>
          </w:tcPr>
          <w:p w:rsidR="0005174E" w:rsidRPr="00F40195" w:rsidRDefault="0005174E" w:rsidP="00F40195">
            <w:pPr>
              <w:jc w:val="center"/>
            </w:pPr>
            <w:r w:rsidRPr="00F40195">
              <w:t>8</w:t>
            </w:r>
            <w:r w:rsidRPr="00F40195">
              <w:rPr>
                <w:vertAlign w:val="superscript"/>
              </w:rPr>
              <w:t>th</w:t>
            </w:r>
            <w:r w:rsidRPr="00F40195">
              <w:t xml:space="preserve"> Grade</w:t>
            </w:r>
          </w:p>
        </w:tc>
        <w:tc>
          <w:tcPr>
            <w:tcW w:w="1656" w:type="dxa"/>
            <w:tcBorders>
              <w:bottom w:val="thinThickSmallGap" w:sz="24" w:space="0" w:color="auto"/>
            </w:tcBorders>
          </w:tcPr>
          <w:p w:rsidR="0005174E" w:rsidRPr="00F40195" w:rsidRDefault="0005174E" w:rsidP="00F40195">
            <w:pPr>
              <w:jc w:val="center"/>
            </w:pPr>
            <w:r w:rsidRPr="00F40195">
              <w:t>4</w:t>
            </w:r>
            <w:r w:rsidRPr="00F40195">
              <w:rPr>
                <w:vertAlign w:val="superscript"/>
              </w:rPr>
              <w:t>th</w:t>
            </w:r>
            <w:r w:rsidRPr="00F40195">
              <w:t xml:space="preserve"> Grade</w:t>
            </w:r>
          </w:p>
        </w:tc>
        <w:tc>
          <w:tcPr>
            <w:tcW w:w="1656" w:type="dxa"/>
            <w:tcBorders>
              <w:bottom w:val="thinThickSmallGap" w:sz="24" w:space="0" w:color="auto"/>
            </w:tcBorders>
          </w:tcPr>
          <w:p w:rsidR="0005174E" w:rsidRPr="00F40195" w:rsidRDefault="0005174E" w:rsidP="00F40195">
            <w:pPr>
              <w:jc w:val="center"/>
            </w:pPr>
            <w:r w:rsidRPr="00F40195">
              <w:t>8</w:t>
            </w:r>
            <w:r w:rsidRPr="00F40195">
              <w:rPr>
                <w:vertAlign w:val="superscript"/>
              </w:rPr>
              <w:t>th</w:t>
            </w:r>
            <w:r w:rsidRPr="00F40195">
              <w:t xml:space="preserve"> Grade</w:t>
            </w:r>
          </w:p>
        </w:tc>
      </w:tr>
      <w:tr w:rsidR="0005174E" w:rsidRPr="00F40195" w:rsidTr="00667CC1">
        <w:tc>
          <w:tcPr>
            <w:tcW w:w="175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18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19%</w:t>
            </w:r>
          </w:p>
        </w:tc>
        <w:tc>
          <w:tcPr>
            <w:tcW w:w="1893"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1%</w:t>
            </w:r>
          </w:p>
        </w:tc>
        <w:tc>
          <w:tcPr>
            <w:tcW w:w="1656"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11%</w:t>
            </w:r>
          </w:p>
        </w:tc>
        <w:tc>
          <w:tcPr>
            <w:tcW w:w="1656"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5%</w:t>
            </w:r>
          </w:p>
        </w:tc>
      </w:tr>
      <w:tr w:rsidR="0005174E" w:rsidRPr="00F40195" w:rsidTr="00667CC1">
        <w:tc>
          <w:tcPr>
            <w:tcW w:w="1759" w:type="dxa"/>
            <w:tcBorders>
              <w:top w:val="thinThickSmallGap" w:sz="24" w:space="0" w:color="auto"/>
            </w:tcBorders>
            <w:vAlign w:val="center"/>
          </w:tcPr>
          <w:p w:rsidR="0005174E" w:rsidRPr="00F40195" w:rsidRDefault="0005174E" w:rsidP="00F40195">
            <w:pPr>
              <w:jc w:val="center"/>
            </w:pPr>
            <w:r w:rsidRPr="00F40195">
              <w:t>Kansas</w:t>
            </w:r>
          </w:p>
        </w:tc>
        <w:tc>
          <w:tcPr>
            <w:tcW w:w="1892" w:type="dxa"/>
            <w:tcBorders>
              <w:top w:val="thinThickSmallGap" w:sz="24" w:space="0" w:color="auto"/>
            </w:tcBorders>
            <w:vAlign w:val="center"/>
          </w:tcPr>
          <w:p w:rsidR="0005174E" w:rsidRPr="00F40195" w:rsidRDefault="0005174E" w:rsidP="00F40195">
            <w:pPr>
              <w:jc w:val="center"/>
            </w:pPr>
            <w:r w:rsidRPr="00F40195">
              <w:t>28%</w:t>
            </w:r>
          </w:p>
        </w:tc>
        <w:tc>
          <w:tcPr>
            <w:tcW w:w="1893" w:type="dxa"/>
            <w:tcBorders>
              <w:top w:val="thinThickSmallGap" w:sz="24" w:space="0" w:color="auto"/>
            </w:tcBorders>
          </w:tcPr>
          <w:p w:rsidR="0005174E" w:rsidRPr="00F40195" w:rsidRDefault="0005174E" w:rsidP="00F40195">
            <w:pPr>
              <w:jc w:val="center"/>
            </w:pPr>
            <w:r w:rsidRPr="00F40195">
              <w:t>11%</w:t>
            </w:r>
          </w:p>
        </w:tc>
        <w:tc>
          <w:tcPr>
            <w:tcW w:w="1656" w:type="dxa"/>
            <w:tcBorders>
              <w:top w:val="thinThickSmallGap" w:sz="24" w:space="0" w:color="auto"/>
            </w:tcBorders>
          </w:tcPr>
          <w:p w:rsidR="0005174E" w:rsidRPr="00F40195" w:rsidRDefault="0005174E" w:rsidP="00F40195">
            <w:pPr>
              <w:jc w:val="center"/>
            </w:pPr>
            <w:r w:rsidRPr="00F40195">
              <w:t>17%</w:t>
            </w:r>
          </w:p>
        </w:tc>
        <w:tc>
          <w:tcPr>
            <w:tcW w:w="1656" w:type="dxa"/>
            <w:tcBorders>
              <w:top w:val="thinThickSmallGap" w:sz="24" w:space="0" w:color="auto"/>
            </w:tcBorders>
          </w:tcPr>
          <w:p w:rsidR="0005174E" w:rsidRPr="00F40195" w:rsidRDefault="0005174E" w:rsidP="00F40195">
            <w:pPr>
              <w:jc w:val="center"/>
            </w:pPr>
            <w:r w:rsidRPr="00F40195">
              <w:t>13%</w:t>
            </w:r>
          </w:p>
        </w:tc>
      </w:tr>
      <w:tr w:rsidR="0005174E" w:rsidRPr="00F40195" w:rsidTr="00667CC1">
        <w:tc>
          <w:tcPr>
            <w:tcW w:w="1759" w:type="dxa"/>
            <w:vAlign w:val="center"/>
          </w:tcPr>
          <w:p w:rsidR="0005174E" w:rsidRPr="00F40195" w:rsidRDefault="0005174E" w:rsidP="00F40195">
            <w:pPr>
              <w:jc w:val="center"/>
            </w:pPr>
            <w:r w:rsidRPr="00F40195">
              <w:t>Massachusetts</w:t>
            </w:r>
          </w:p>
        </w:tc>
        <w:tc>
          <w:tcPr>
            <w:tcW w:w="1892" w:type="dxa"/>
            <w:vAlign w:val="center"/>
          </w:tcPr>
          <w:p w:rsidR="0005174E" w:rsidRPr="00F40195" w:rsidRDefault="0005174E" w:rsidP="00F40195">
            <w:pPr>
              <w:jc w:val="center"/>
            </w:pPr>
            <w:r w:rsidRPr="00F40195">
              <w:t>19%</w:t>
            </w:r>
          </w:p>
        </w:tc>
        <w:tc>
          <w:tcPr>
            <w:tcW w:w="1893" w:type="dxa"/>
          </w:tcPr>
          <w:p w:rsidR="0005174E" w:rsidRPr="00F40195" w:rsidRDefault="0005174E" w:rsidP="00F40195">
            <w:pPr>
              <w:jc w:val="center"/>
            </w:pPr>
            <w:r w:rsidRPr="00F40195">
              <w:t>8%</w:t>
            </w:r>
          </w:p>
        </w:tc>
        <w:tc>
          <w:tcPr>
            <w:tcW w:w="1656" w:type="dxa"/>
          </w:tcPr>
          <w:p w:rsidR="0005174E" w:rsidRPr="00F40195" w:rsidRDefault="0005174E" w:rsidP="00F40195">
            <w:pPr>
              <w:jc w:val="center"/>
            </w:pPr>
            <w:r w:rsidRPr="00F40195">
              <w:t>12%</w:t>
            </w:r>
          </w:p>
        </w:tc>
        <w:tc>
          <w:tcPr>
            <w:tcW w:w="1656" w:type="dxa"/>
          </w:tcPr>
          <w:p w:rsidR="0005174E" w:rsidRPr="00F40195" w:rsidRDefault="0005174E" w:rsidP="00F40195">
            <w:pPr>
              <w:jc w:val="center"/>
              <w:rPr>
                <w:color w:val="FF0000"/>
              </w:rPr>
            </w:pPr>
            <w:r w:rsidRPr="00F40195">
              <w:rPr>
                <w:color w:val="FF0000"/>
              </w:rPr>
              <w:t>4%</w:t>
            </w:r>
          </w:p>
        </w:tc>
      </w:tr>
      <w:tr w:rsidR="0005174E" w:rsidRPr="00F40195" w:rsidTr="00667CC1">
        <w:tc>
          <w:tcPr>
            <w:tcW w:w="1759" w:type="dxa"/>
            <w:vAlign w:val="center"/>
          </w:tcPr>
          <w:p w:rsidR="0005174E" w:rsidRPr="00F40195" w:rsidRDefault="0005174E" w:rsidP="00F40195">
            <w:pPr>
              <w:jc w:val="center"/>
            </w:pPr>
            <w:r w:rsidRPr="00F40195">
              <w:t>Minnesota</w:t>
            </w:r>
          </w:p>
        </w:tc>
        <w:tc>
          <w:tcPr>
            <w:tcW w:w="1892" w:type="dxa"/>
            <w:vAlign w:val="center"/>
          </w:tcPr>
          <w:p w:rsidR="0005174E" w:rsidRPr="00F40195" w:rsidRDefault="0005174E" w:rsidP="00F40195">
            <w:pPr>
              <w:jc w:val="center"/>
              <w:rPr>
                <w:color w:val="FF0000"/>
              </w:rPr>
            </w:pPr>
            <w:r w:rsidRPr="00F40195">
              <w:rPr>
                <w:color w:val="FF0000"/>
              </w:rPr>
              <w:t>17%</w:t>
            </w:r>
          </w:p>
        </w:tc>
        <w:tc>
          <w:tcPr>
            <w:tcW w:w="1893" w:type="dxa"/>
          </w:tcPr>
          <w:p w:rsidR="0005174E" w:rsidRPr="00F40195" w:rsidRDefault="0005174E" w:rsidP="00F40195">
            <w:pPr>
              <w:jc w:val="center"/>
            </w:pPr>
            <w:r w:rsidRPr="00F40195">
              <w:t>9%</w:t>
            </w:r>
          </w:p>
        </w:tc>
        <w:tc>
          <w:tcPr>
            <w:tcW w:w="1656" w:type="dxa"/>
          </w:tcPr>
          <w:p w:rsidR="0005174E" w:rsidRPr="00F40195" w:rsidRDefault="0005174E" w:rsidP="00F40195">
            <w:pPr>
              <w:jc w:val="center"/>
              <w:rPr>
                <w:color w:val="FF0000"/>
              </w:rPr>
            </w:pPr>
            <w:r w:rsidRPr="00F40195">
              <w:rPr>
                <w:color w:val="FF0000"/>
              </w:rPr>
              <w:t>8%</w:t>
            </w:r>
          </w:p>
        </w:tc>
        <w:tc>
          <w:tcPr>
            <w:tcW w:w="1656" w:type="dxa"/>
          </w:tcPr>
          <w:p w:rsidR="0005174E" w:rsidRPr="00F40195" w:rsidRDefault="0005174E" w:rsidP="00F40195">
            <w:pPr>
              <w:jc w:val="center"/>
            </w:pPr>
            <w:r w:rsidRPr="00F40195">
              <w:t>6%</w:t>
            </w:r>
          </w:p>
        </w:tc>
      </w:tr>
      <w:tr w:rsidR="0005174E" w:rsidRPr="00F40195" w:rsidTr="00667CC1">
        <w:tc>
          <w:tcPr>
            <w:tcW w:w="1759" w:type="dxa"/>
            <w:vAlign w:val="center"/>
          </w:tcPr>
          <w:p w:rsidR="0005174E" w:rsidRPr="00F40195" w:rsidRDefault="0005174E" w:rsidP="00F40195">
            <w:pPr>
              <w:ind w:right="-77"/>
              <w:jc w:val="center"/>
            </w:pPr>
            <w:r w:rsidRPr="00F40195">
              <w:t>New Hampshire</w:t>
            </w:r>
          </w:p>
        </w:tc>
        <w:tc>
          <w:tcPr>
            <w:tcW w:w="1892" w:type="dxa"/>
            <w:vAlign w:val="center"/>
          </w:tcPr>
          <w:p w:rsidR="0005174E" w:rsidRPr="00F40195" w:rsidRDefault="0005174E" w:rsidP="00F40195">
            <w:pPr>
              <w:jc w:val="center"/>
            </w:pPr>
            <w:r w:rsidRPr="00F40195">
              <w:t>20%</w:t>
            </w:r>
          </w:p>
        </w:tc>
        <w:tc>
          <w:tcPr>
            <w:tcW w:w="1893" w:type="dxa"/>
          </w:tcPr>
          <w:p w:rsidR="0005174E" w:rsidRPr="00F40195" w:rsidRDefault="0005174E" w:rsidP="00F40195">
            <w:pPr>
              <w:jc w:val="center"/>
            </w:pPr>
            <w:r w:rsidRPr="00F40195">
              <w:t>#</w:t>
            </w:r>
          </w:p>
        </w:tc>
        <w:tc>
          <w:tcPr>
            <w:tcW w:w="1656" w:type="dxa"/>
          </w:tcPr>
          <w:p w:rsidR="0005174E" w:rsidRPr="00F40195" w:rsidRDefault="0005174E" w:rsidP="00F40195">
            <w:pPr>
              <w:jc w:val="center"/>
              <w:rPr>
                <w:color w:val="FF0000"/>
              </w:rPr>
            </w:pPr>
            <w:r w:rsidRPr="00F40195">
              <w:rPr>
                <w:color w:val="FF0000"/>
              </w:rPr>
              <w:t>10%</w:t>
            </w:r>
          </w:p>
        </w:tc>
        <w:tc>
          <w:tcPr>
            <w:tcW w:w="1656" w:type="dxa"/>
          </w:tcPr>
          <w:p w:rsidR="0005174E" w:rsidRPr="00F40195" w:rsidRDefault="0005174E" w:rsidP="00F40195">
            <w:pPr>
              <w:jc w:val="center"/>
            </w:pPr>
            <w:r w:rsidRPr="00F40195">
              <w:t>#</w:t>
            </w:r>
          </w:p>
        </w:tc>
      </w:tr>
      <w:tr w:rsidR="0005174E" w:rsidRPr="00F40195" w:rsidTr="00667CC1">
        <w:tc>
          <w:tcPr>
            <w:tcW w:w="1759" w:type="dxa"/>
            <w:vAlign w:val="center"/>
          </w:tcPr>
          <w:p w:rsidR="0005174E" w:rsidRPr="00F40195" w:rsidRDefault="0005174E" w:rsidP="00F40195">
            <w:pPr>
              <w:jc w:val="center"/>
            </w:pPr>
            <w:r w:rsidRPr="00F40195">
              <w:t>New Jersey</w:t>
            </w:r>
          </w:p>
        </w:tc>
        <w:tc>
          <w:tcPr>
            <w:tcW w:w="1892" w:type="dxa"/>
            <w:vAlign w:val="center"/>
          </w:tcPr>
          <w:p w:rsidR="0005174E" w:rsidRPr="00F40195" w:rsidRDefault="0005174E" w:rsidP="00F40195">
            <w:pPr>
              <w:jc w:val="center"/>
              <w:rPr>
                <w:color w:val="FF0000"/>
              </w:rPr>
            </w:pPr>
            <w:r w:rsidRPr="00F40195">
              <w:rPr>
                <w:color w:val="FF0000"/>
              </w:rPr>
              <w:t>12%</w:t>
            </w:r>
          </w:p>
        </w:tc>
        <w:tc>
          <w:tcPr>
            <w:tcW w:w="1893" w:type="dxa"/>
          </w:tcPr>
          <w:p w:rsidR="0005174E" w:rsidRPr="00F40195" w:rsidRDefault="0005174E" w:rsidP="00F40195">
            <w:pPr>
              <w:jc w:val="center"/>
            </w:pPr>
            <w:r w:rsidRPr="00F40195">
              <w:t>#</w:t>
            </w:r>
          </w:p>
        </w:tc>
        <w:tc>
          <w:tcPr>
            <w:tcW w:w="1656" w:type="dxa"/>
          </w:tcPr>
          <w:p w:rsidR="0005174E" w:rsidRPr="00F40195" w:rsidRDefault="0005174E" w:rsidP="00F40195">
            <w:pPr>
              <w:jc w:val="center"/>
              <w:rPr>
                <w:color w:val="FF0000"/>
              </w:rPr>
            </w:pPr>
            <w:r w:rsidRPr="00F40195">
              <w:rPr>
                <w:color w:val="FF0000"/>
              </w:rPr>
              <w:t>9%</w:t>
            </w:r>
          </w:p>
        </w:tc>
        <w:tc>
          <w:tcPr>
            <w:tcW w:w="1656" w:type="dxa"/>
          </w:tcPr>
          <w:p w:rsidR="0005174E" w:rsidRPr="00F40195" w:rsidRDefault="0005174E" w:rsidP="00F40195">
            <w:pPr>
              <w:jc w:val="center"/>
            </w:pPr>
            <w:r w:rsidRPr="00F40195">
              <w:t>#</w:t>
            </w:r>
          </w:p>
        </w:tc>
      </w:tr>
      <w:tr w:rsidR="0005174E" w:rsidRPr="00F40195" w:rsidTr="00667CC1">
        <w:tc>
          <w:tcPr>
            <w:tcW w:w="1759" w:type="dxa"/>
            <w:vAlign w:val="center"/>
          </w:tcPr>
          <w:p w:rsidR="0005174E" w:rsidRPr="00F40195" w:rsidRDefault="0005174E" w:rsidP="00F40195">
            <w:pPr>
              <w:jc w:val="center"/>
            </w:pPr>
            <w:r w:rsidRPr="00F40195">
              <w:t>Vermont</w:t>
            </w:r>
          </w:p>
        </w:tc>
        <w:tc>
          <w:tcPr>
            <w:tcW w:w="1892" w:type="dxa"/>
            <w:vAlign w:val="center"/>
          </w:tcPr>
          <w:p w:rsidR="0005174E" w:rsidRPr="00F40195" w:rsidRDefault="0005174E" w:rsidP="00F40195">
            <w:pPr>
              <w:jc w:val="center"/>
            </w:pPr>
            <w:r w:rsidRPr="00F40195">
              <w:t>#</w:t>
            </w:r>
          </w:p>
        </w:tc>
        <w:tc>
          <w:tcPr>
            <w:tcW w:w="1893" w:type="dxa"/>
          </w:tcPr>
          <w:p w:rsidR="0005174E" w:rsidRPr="00F40195" w:rsidRDefault="0005174E" w:rsidP="00F40195">
            <w:pPr>
              <w:jc w:val="center"/>
            </w:pPr>
            <w:r w:rsidRPr="00F40195">
              <w:t>#</w:t>
            </w:r>
          </w:p>
        </w:tc>
        <w:tc>
          <w:tcPr>
            <w:tcW w:w="1656" w:type="dxa"/>
          </w:tcPr>
          <w:p w:rsidR="0005174E" w:rsidRPr="00F40195" w:rsidRDefault="0005174E" w:rsidP="00F40195">
            <w:pPr>
              <w:jc w:val="center"/>
            </w:pPr>
            <w:r w:rsidRPr="00F40195">
              <w:t>#</w:t>
            </w:r>
          </w:p>
        </w:tc>
        <w:tc>
          <w:tcPr>
            <w:tcW w:w="1656" w:type="dxa"/>
          </w:tcPr>
          <w:p w:rsidR="0005174E" w:rsidRPr="00F40195" w:rsidRDefault="0005174E" w:rsidP="00F40195">
            <w:pPr>
              <w:jc w:val="center"/>
            </w:pPr>
            <w:r w:rsidRPr="00F40195">
              <w:t>#</w:t>
            </w:r>
          </w:p>
        </w:tc>
      </w:tr>
    </w:tbl>
    <w:p w:rsidR="0005174E" w:rsidRPr="00F40195" w:rsidRDefault="0005174E" w:rsidP="00F40195">
      <w:pPr>
        <w:spacing w:line="240" w:lineRule="auto"/>
        <w:rPr>
          <w:rFonts w:cs="Times New Roman"/>
          <w:sz w:val="20"/>
          <w:szCs w:val="20"/>
        </w:rPr>
      </w:pPr>
      <w:r w:rsidRPr="00F40195">
        <w:rPr>
          <w:rFonts w:cs="Times New Roman"/>
          <w:sz w:val="20"/>
          <w:szCs w:val="20"/>
        </w:rPr>
        <w:t xml:space="preserve"># - Insufficient sample size </w:t>
      </w:r>
    </w:p>
    <w:p w:rsidR="0005174E" w:rsidRPr="00F40195" w:rsidRDefault="0005174E" w:rsidP="00F40195">
      <w:pPr>
        <w:spacing w:line="240" w:lineRule="auto"/>
        <w:rPr>
          <w:rFonts w:cs="Times New Roman"/>
          <w:sz w:val="20"/>
          <w:szCs w:val="20"/>
        </w:rPr>
      </w:pPr>
      <w:r w:rsidRPr="00F40195">
        <w:rPr>
          <w:rFonts w:cs="Times New Roman"/>
          <w:sz w:val="20"/>
          <w:szCs w:val="20"/>
        </w:rPr>
        <w:t>Source: U.S. Department of Education</w:t>
      </w:r>
    </w:p>
    <w:p w:rsidR="00182FC0" w:rsidRPr="00F40195" w:rsidRDefault="00182FC0" w:rsidP="008D674A">
      <w:pPr>
        <w:pStyle w:val="Heading3"/>
      </w:pPr>
    </w:p>
    <w:p w:rsidR="0005174E" w:rsidRPr="00F40195" w:rsidRDefault="0005174E" w:rsidP="008D674A">
      <w:pPr>
        <w:pStyle w:val="Heading3"/>
      </w:pPr>
      <w:bookmarkStart w:id="136" w:name="_Toc395180721"/>
      <w:r w:rsidRPr="00F40195">
        <w:t>High School Graduation Rates</w:t>
      </w:r>
      <w:bookmarkEnd w:id="136"/>
    </w:p>
    <w:p w:rsidR="0005174E" w:rsidRPr="00F40195" w:rsidRDefault="0005174E" w:rsidP="00F40195">
      <w:pPr>
        <w:spacing w:line="240" w:lineRule="auto"/>
        <w:rPr>
          <w:rFonts w:cs="Times New Roman"/>
          <w:color w:val="232323"/>
        </w:rPr>
      </w:pPr>
      <w:r w:rsidRPr="00F40195">
        <w:rPr>
          <w:rFonts w:cs="Times New Roman"/>
        </w:rPr>
        <w:t>There are multiple ways to calculate high school graduation rates – this study chose to use the National Center for Education Statistics’ (NCES) four-year graduation rate numbers. NCES calculates four-year graduation rates by using the</w:t>
      </w:r>
      <w:r w:rsidRPr="00F40195">
        <w:rPr>
          <w:rFonts w:cs="Times New Roman"/>
          <w:i/>
          <w:color w:val="232323"/>
        </w:rPr>
        <w:t xml:space="preserve"> “…aggregate student enrollment data to estimate the size of an incoming freshman class and aggregate counts of the number of diplomas awarded 4 years later</w:t>
      </w:r>
      <w:r w:rsidRPr="00F40195">
        <w:rPr>
          <w:rFonts w:cs="Times New Roman"/>
          <w:color w:val="232323"/>
        </w:rPr>
        <w:t>.” In the 2009-10 school year, the most recent available, Kentucky’s fou</w:t>
      </w:r>
      <w:r w:rsidR="00F72B94">
        <w:rPr>
          <w:rFonts w:cs="Times New Roman"/>
          <w:color w:val="232323"/>
        </w:rPr>
        <w:t>r-year graduation rate was 79.9 percent</w:t>
      </w:r>
      <w:r w:rsidRPr="00F40195">
        <w:rPr>
          <w:rFonts w:cs="Times New Roman"/>
          <w:color w:val="232323"/>
        </w:rPr>
        <w:t>. Kentucky’s graduation rate trailed all six of the high achi</w:t>
      </w:r>
      <w:r w:rsidR="00F72B94">
        <w:rPr>
          <w:rFonts w:cs="Times New Roman"/>
          <w:color w:val="232323"/>
        </w:rPr>
        <w:t>eving states - ranging from 2.7 percent in Massachusetts to 21.5 percent</w:t>
      </w:r>
      <w:r w:rsidRPr="00F40195">
        <w:rPr>
          <w:rFonts w:cs="Times New Roman"/>
          <w:color w:val="232323"/>
        </w:rPr>
        <w:t xml:space="preserve"> in Vermont.</w:t>
      </w:r>
    </w:p>
    <w:p w:rsidR="003D442F" w:rsidRDefault="003D442F">
      <w:pPr>
        <w:rPr>
          <w:rFonts w:cs="Times New Roman"/>
          <w:b/>
        </w:rPr>
      </w:pPr>
      <w:r>
        <w:rPr>
          <w:rFonts w:cs="Times New Roman"/>
          <w:b/>
        </w:rPr>
        <w:br w:type="page"/>
      </w:r>
    </w:p>
    <w:p w:rsidR="0005174E" w:rsidRPr="00F40195" w:rsidRDefault="0005174E" w:rsidP="00F40195">
      <w:pPr>
        <w:spacing w:line="240" w:lineRule="auto"/>
        <w:rPr>
          <w:rFonts w:cs="Times New Roman"/>
          <w:b/>
        </w:rPr>
      </w:pPr>
    </w:p>
    <w:p w:rsidR="003B0CF5" w:rsidRDefault="003B0CF5" w:rsidP="00F40195">
      <w:pPr>
        <w:spacing w:line="240" w:lineRule="auto"/>
        <w:jc w:val="center"/>
        <w:rPr>
          <w:rFonts w:cs="Times New Roman"/>
          <w:b/>
        </w:rPr>
      </w:pPr>
      <w:r>
        <w:rPr>
          <w:rFonts w:cs="Times New Roman"/>
          <w:b/>
        </w:rPr>
        <w:t>Table 1.F</w:t>
      </w:r>
    </w:p>
    <w:p w:rsidR="0005174E" w:rsidRDefault="0005174E" w:rsidP="00F40195">
      <w:pPr>
        <w:spacing w:line="240" w:lineRule="auto"/>
        <w:jc w:val="center"/>
        <w:rPr>
          <w:rFonts w:cs="Times New Roman"/>
          <w:b/>
        </w:rPr>
      </w:pPr>
      <w:r w:rsidRPr="00F40195">
        <w:rPr>
          <w:rFonts w:cs="Times New Roman"/>
          <w:b/>
        </w:rPr>
        <w:t>Four-Year High School Graduation Rates</w:t>
      </w:r>
    </w:p>
    <w:p w:rsidR="003B0CF5" w:rsidRPr="00F40195" w:rsidRDefault="003B0CF5" w:rsidP="00F40195">
      <w:pPr>
        <w:spacing w:line="240" w:lineRule="auto"/>
        <w:jc w:val="center"/>
        <w:rPr>
          <w:rFonts w:cs="Times New Roman"/>
          <w:b/>
        </w:rPr>
      </w:pPr>
    </w:p>
    <w:tbl>
      <w:tblPr>
        <w:tblStyle w:val="TableGrid"/>
        <w:tblW w:w="0" w:type="auto"/>
        <w:jc w:val="center"/>
        <w:tblLook w:val="04A0" w:firstRow="1" w:lastRow="0" w:firstColumn="1" w:lastColumn="0" w:noHBand="0" w:noVBand="1"/>
      </w:tblPr>
      <w:tblGrid>
        <w:gridCol w:w="2249"/>
        <w:gridCol w:w="2223"/>
      </w:tblGrid>
      <w:tr w:rsidR="0005174E" w:rsidRPr="00F40195" w:rsidTr="00667CC1">
        <w:trPr>
          <w:jc w:val="center"/>
        </w:trPr>
        <w:tc>
          <w:tcPr>
            <w:tcW w:w="2249" w:type="dxa"/>
            <w:tcBorders>
              <w:bottom w:val="thinThickSmallGap" w:sz="24" w:space="0" w:color="auto"/>
            </w:tcBorders>
            <w:vAlign w:val="center"/>
          </w:tcPr>
          <w:p w:rsidR="0005174E" w:rsidRPr="00F40195" w:rsidRDefault="0005174E" w:rsidP="00F40195">
            <w:pPr>
              <w:jc w:val="center"/>
            </w:pPr>
            <w:r w:rsidRPr="00F40195">
              <w:t>State</w:t>
            </w:r>
          </w:p>
        </w:tc>
        <w:tc>
          <w:tcPr>
            <w:tcW w:w="2223" w:type="dxa"/>
            <w:tcBorders>
              <w:bottom w:val="thinThickSmallGap" w:sz="24" w:space="0" w:color="auto"/>
            </w:tcBorders>
            <w:vAlign w:val="center"/>
          </w:tcPr>
          <w:p w:rsidR="0005174E" w:rsidRPr="00F40195" w:rsidRDefault="0005174E" w:rsidP="00F40195">
            <w:pPr>
              <w:jc w:val="center"/>
            </w:pPr>
            <w:r w:rsidRPr="00F40195">
              <w:t>Graduation Rates</w:t>
            </w:r>
          </w:p>
          <w:p w:rsidR="0005174E" w:rsidRPr="00F40195" w:rsidRDefault="0005174E" w:rsidP="00F40195">
            <w:pPr>
              <w:jc w:val="center"/>
            </w:pPr>
            <w:r w:rsidRPr="00F40195">
              <w:t>(2009-10)</w:t>
            </w:r>
          </w:p>
        </w:tc>
      </w:tr>
      <w:tr w:rsidR="0005174E" w:rsidRPr="00F40195" w:rsidTr="00667CC1">
        <w:trPr>
          <w:jc w:val="center"/>
        </w:trPr>
        <w:tc>
          <w:tcPr>
            <w:tcW w:w="22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222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79.9%</w:t>
            </w:r>
          </w:p>
        </w:tc>
      </w:tr>
      <w:tr w:rsidR="0005174E" w:rsidRPr="00F40195" w:rsidTr="00667CC1">
        <w:trPr>
          <w:jc w:val="center"/>
        </w:trPr>
        <w:tc>
          <w:tcPr>
            <w:tcW w:w="2249" w:type="dxa"/>
            <w:tcBorders>
              <w:top w:val="thinThickSmallGap" w:sz="24" w:space="0" w:color="auto"/>
              <w:bottom w:val="single" w:sz="4" w:space="0" w:color="auto"/>
            </w:tcBorders>
            <w:vAlign w:val="center"/>
          </w:tcPr>
          <w:p w:rsidR="0005174E" w:rsidRPr="00F40195" w:rsidRDefault="0005174E" w:rsidP="00F40195">
            <w:pPr>
              <w:jc w:val="center"/>
            </w:pPr>
            <w:r w:rsidRPr="00F40195">
              <w:t>Vermont</w:t>
            </w:r>
          </w:p>
        </w:tc>
        <w:tc>
          <w:tcPr>
            <w:tcW w:w="2223" w:type="dxa"/>
            <w:tcBorders>
              <w:top w:val="thinThickSmallGap" w:sz="24" w:space="0" w:color="auto"/>
              <w:bottom w:val="single" w:sz="4" w:space="0" w:color="auto"/>
            </w:tcBorders>
            <w:vAlign w:val="center"/>
          </w:tcPr>
          <w:p w:rsidR="0005174E" w:rsidRPr="00F40195" w:rsidRDefault="0005174E" w:rsidP="00F40195">
            <w:pPr>
              <w:jc w:val="center"/>
            </w:pPr>
            <w:r w:rsidRPr="00F40195">
              <w:t>91.4%</w:t>
            </w:r>
          </w:p>
        </w:tc>
      </w:tr>
      <w:tr w:rsidR="0005174E" w:rsidRPr="00F40195" w:rsidTr="00667CC1">
        <w:trPr>
          <w:jc w:val="center"/>
        </w:trPr>
        <w:tc>
          <w:tcPr>
            <w:tcW w:w="2249" w:type="dxa"/>
            <w:tcBorders>
              <w:top w:val="single" w:sz="4" w:space="0" w:color="auto"/>
            </w:tcBorders>
            <w:vAlign w:val="center"/>
          </w:tcPr>
          <w:p w:rsidR="0005174E" w:rsidRPr="00F40195" w:rsidRDefault="0005174E" w:rsidP="00F40195">
            <w:pPr>
              <w:jc w:val="center"/>
            </w:pPr>
            <w:r w:rsidRPr="00F40195">
              <w:t>Minnesota</w:t>
            </w:r>
          </w:p>
        </w:tc>
        <w:tc>
          <w:tcPr>
            <w:tcW w:w="2223" w:type="dxa"/>
            <w:tcBorders>
              <w:top w:val="single" w:sz="4" w:space="0" w:color="auto"/>
            </w:tcBorders>
            <w:vAlign w:val="center"/>
          </w:tcPr>
          <w:p w:rsidR="0005174E" w:rsidRPr="00F40195" w:rsidRDefault="0005174E" w:rsidP="00F40195">
            <w:pPr>
              <w:jc w:val="center"/>
            </w:pPr>
            <w:r w:rsidRPr="00F40195">
              <w:t>88.2%</w:t>
            </w:r>
          </w:p>
        </w:tc>
      </w:tr>
      <w:tr w:rsidR="0005174E" w:rsidRPr="00F40195" w:rsidTr="00667CC1">
        <w:trPr>
          <w:jc w:val="center"/>
        </w:trPr>
        <w:tc>
          <w:tcPr>
            <w:tcW w:w="2249" w:type="dxa"/>
            <w:vAlign w:val="center"/>
          </w:tcPr>
          <w:p w:rsidR="0005174E" w:rsidRPr="00F40195" w:rsidRDefault="0005174E" w:rsidP="00F40195">
            <w:pPr>
              <w:jc w:val="center"/>
            </w:pPr>
            <w:r w:rsidRPr="00F40195">
              <w:t>New Jersey</w:t>
            </w:r>
          </w:p>
        </w:tc>
        <w:tc>
          <w:tcPr>
            <w:tcW w:w="2223" w:type="dxa"/>
            <w:vAlign w:val="center"/>
          </w:tcPr>
          <w:p w:rsidR="0005174E" w:rsidRPr="00F40195" w:rsidRDefault="0005174E" w:rsidP="00F40195">
            <w:pPr>
              <w:jc w:val="center"/>
            </w:pPr>
            <w:r w:rsidRPr="00F40195">
              <w:t>87.2%</w:t>
            </w:r>
          </w:p>
        </w:tc>
      </w:tr>
      <w:tr w:rsidR="0005174E" w:rsidRPr="00F40195" w:rsidTr="00667CC1">
        <w:trPr>
          <w:jc w:val="center"/>
        </w:trPr>
        <w:tc>
          <w:tcPr>
            <w:tcW w:w="2249" w:type="dxa"/>
            <w:vAlign w:val="center"/>
          </w:tcPr>
          <w:p w:rsidR="0005174E" w:rsidRPr="00F40195" w:rsidRDefault="0005174E" w:rsidP="00F40195">
            <w:pPr>
              <w:jc w:val="center"/>
            </w:pPr>
            <w:r w:rsidRPr="00F40195">
              <w:t>New Hampshire</w:t>
            </w:r>
          </w:p>
        </w:tc>
        <w:tc>
          <w:tcPr>
            <w:tcW w:w="2223" w:type="dxa"/>
            <w:vAlign w:val="center"/>
          </w:tcPr>
          <w:p w:rsidR="0005174E" w:rsidRPr="00F40195" w:rsidRDefault="0005174E" w:rsidP="00F40195">
            <w:pPr>
              <w:jc w:val="center"/>
            </w:pPr>
            <w:r w:rsidRPr="00F40195">
              <w:t>86.3%</w:t>
            </w:r>
          </w:p>
        </w:tc>
      </w:tr>
      <w:tr w:rsidR="0005174E" w:rsidRPr="00F40195" w:rsidTr="00667CC1">
        <w:trPr>
          <w:jc w:val="center"/>
        </w:trPr>
        <w:tc>
          <w:tcPr>
            <w:tcW w:w="2249" w:type="dxa"/>
            <w:vAlign w:val="center"/>
          </w:tcPr>
          <w:p w:rsidR="0005174E" w:rsidRPr="00F40195" w:rsidRDefault="0005174E" w:rsidP="00F40195">
            <w:pPr>
              <w:jc w:val="center"/>
            </w:pPr>
            <w:r w:rsidRPr="00F40195">
              <w:t>Kansas</w:t>
            </w:r>
          </w:p>
        </w:tc>
        <w:tc>
          <w:tcPr>
            <w:tcW w:w="2223" w:type="dxa"/>
            <w:vAlign w:val="center"/>
          </w:tcPr>
          <w:p w:rsidR="0005174E" w:rsidRPr="00F40195" w:rsidRDefault="0005174E" w:rsidP="00F40195">
            <w:pPr>
              <w:jc w:val="center"/>
            </w:pPr>
            <w:r w:rsidRPr="00F40195">
              <w:t>84.5%</w:t>
            </w:r>
          </w:p>
        </w:tc>
      </w:tr>
      <w:tr w:rsidR="0005174E" w:rsidRPr="00F40195" w:rsidTr="00667CC1">
        <w:trPr>
          <w:jc w:val="center"/>
        </w:trPr>
        <w:tc>
          <w:tcPr>
            <w:tcW w:w="2249" w:type="dxa"/>
            <w:vAlign w:val="center"/>
          </w:tcPr>
          <w:p w:rsidR="0005174E" w:rsidRPr="00F40195" w:rsidRDefault="0005174E" w:rsidP="00F40195">
            <w:pPr>
              <w:jc w:val="center"/>
            </w:pPr>
            <w:r w:rsidRPr="00F40195">
              <w:t>Massachusetts</w:t>
            </w:r>
          </w:p>
        </w:tc>
        <w:tc>
          <w:tcPr>
            <w:tcW w:w="2223" w:type="dxa"/>
            <w:vAlign w:val="center"/>
          </w:tcPr>
          <w:p w:rsidR="0005174E" w:rsidRPr="00F40195" w:rsidRDefault="0005174E" w:rsidP="00F40195">
            <w:pPr>
              <w:jc w:val="center"/>
            </w:pPr>
            <w:r w:rsidRPr="00F40195">
              <w:t>82.6%</w:t>
            </w:r>
          </w:p>
        </w:tc>
      </w:tr>
    </w:tbl>
    <w:p w:rsidR="0005174E" w:rsidRPr="00F40195" w:rsidRDefault="0005174E" w:rsidP="00F40195">
      <w:pPr>
        <w:spacing w:line="240" w:lineRule="auto"/>
        <w:jc w:val="center"/>
        <w:rPr>
          <w:rFonts w:cs="Times New Roman"/>
          <w:sz w:val="20"/>
          <w:szCs w:val="20"/>
        </w:rPr>
      </w:pPr>
      <w:r w:rsidRPr="00F40195">
        <w:rPr>
          <w:rFonts w:cs="Times New Roman"/>
          <w:sz w:val="20"/>
          <w:szCs w:val="20"/>
        </w:rPr>
        <w:t>Source: U.S. Department of Education</w:t>
      </w:r>
    </w:p>
    <w:p w:rsidR="003B0CF5" w:rsidRDefault="003B0CF5" w:rsidP="007162A8">
      <w:pPr>
        <w:pStyle w:val="Heading2"/>
      </w:pPr>
    </w:p>
    <w:p w:rsidR="0005174E" w:rsidRPr="00F40195" w:rsidRDefault="0005174E" w:rsidP="007162A8">
      <w:pPr>
        <w:pStyle w:val="Heading2"/>
      </w:pPr>
      <w:bookmarkStart w:id="137" w:name="_Toc395180722"/>
      <w:r w:rsidRPr="00F40195">
        <w:t>Educational Expenditures</w:t>
      </w:r>
      <w:bookmarkEnd w:id="137"/>
    </w:p>
    <w:p w:rsidR="0005174E" w:rsidRPr="00F40195" w:rsidRDefault="0005174E" w:rsidP="00F40195">
      <w:pPr>
        <w:spacing w:line="240" w:lineRule="auto"/>
        <w:rPr>
          <w:rFonts w:cs="Times New Roman"/>
        </w:rPr>
      </w:pPr>
      <w:r w:rsidRPr="00F40195">
        <w:rPr>
          <w:rFonts w:cs="Times New Roman"/>
        </w:rPr>
        <w:t xml:space="preserve">Five of the six high achieving states spend more on a per pupil basis than Kentucky. While Kentucky’s </w:t>
      </w:r>
      <w:r w:rsidR="00F72B94">
        <w:rPr>
          <w:rFonts w:cs="Times New Roman"/>
        </w:rPr>
        <w:t>per pupil spending is $344 (3.5 percent</w:t>
      </w:r>
      <w:r w:rsidRPr="00F40195">
        <w:rPr>
          <w:rFonts w:cs="Times New Roman"/>
        </w:rPr>
        <w:t>) above Kansas it trails the other high achieving</w:t>
      </w:r>
      <w:r w:rsidR="00F72B94">
        <w:rPr>
          <w:rFonts w:cs="Times New Roman"/>
        </w:rPr>
        <w:t xml:space="preserve"> states by between $1,599 (15.9 percent) in Minnesota to $9,861 (96.9 percent</w:t>
      </w:r>
      <w:r w:rsidRPr="00F40195">
        <w:rPr>
          <w:rFonts w:cs="Times New Roman"/>
        </w:rPr>
        <w:t>) in Vermont.</w:t>
      </w:r>
    </w:p>
    <w:p w:rsidR="0005174E" w:rsidRPr="00F40195" w:rsidRDefault="0005174E" w:rsidP="00F40195">
      <w:pPr>
        <w:spacing w:line="240" w:lineRule="auto"/>
        <w:rPr>
          <w:rFonts w:cs="Times New Roman"/>
        </w:rPr>
      </w:pPr>
    </w:p>
    <w:p w:rsidR="003B0CF5" w:rsidRDefault="003B0CF5" w:rsidP="00F40195">
      <w:pPr>
        <w:spacing w:line="240" w:lineRule="auto"/>
        <w:jc w:val="center"/>
        <w:rPr>
          <w:rFonts w:cs="Times New Roman"/>
          <w:b/>
        </w:rPr>
      </w:pPr>
      <w:r>
        <w:rPr>
          <w:rFonts w:cs="Times New Roman"/>
          <w:b/>
        </w:rPr>
        <w:t>Table 1.G</w:t>
      </w:r>
    </w:p>
    <w:p w:rsidR="0005174E" w:rsidRDefault="0005174E" w:rsidP="00F40195">
      <w:pPr>
        <w:spacing w:line="240" w:lineRule="auto"/>
        <w:jc w:val="center"/>
        <w:rPr>
          <w:rFonts w:cs="Times New Roman"/>
          <w:b/>
        </w:rPr>
      </w:pPr>
      <w:r w:rsidRPr="00F40195">
        <w:rPr>
          <w:rFonts w:cs="Times New Roman"/>
          <w:b/>
        </w:rPr>
        <w:t xml:space="preserve">Total Expenditures </w:t>
      </w:r>
      <w:proofErr w:type="gramStart"/>
      <w:r w:rsidRPr="00F40195">
        <w:rPr>
          <w:rFonts w:cs="Times New Roman"/>
          <w:b/>
        </w:rPr>
        <w:t>Per</w:t>
      </w:r>
      <w:proofErr w:type="gramEnd"/>
      <w:r w:rsidRPr="00F40195">
        <w:rPr>
          <w:rFonts w:cs="Times New Roman"/>
          <w:b/>
        </w:rPr>
        <w:t xml:space="preserve"> Pupil</w:t>
      </w:r>
    </w:p>
    <w:p w:rsidR="003B0CF5" w:rsidRPr="00F40195" w:rsidRDefault="003B0CF5" w:rsidP="00F40195">
      <w:pPr>
        <w:spacing w:line="240" w:lineRule="auto"/>
        <w:jc w:val="center"/>
        <w:rPr>
          <w:rFonts w:cs="Times New Roman"/>
          <w:b/>
        </w:rPr>
      </w:pPr>
    </w:p>
    <w:tbl>
      <w:tblPr>
        <w:tblStyle w:val="TableGrid"/>
        <w:tblW w:w="0" w:type="auto"/>
        <w:jc w:val="center"/>
        <w:tblLook w:val="04A0" w:firstRow="1" w:lastRow="0" w:firstColumn="1" w:lastColumn="0" w:noHBand="0" w:noVBand="1"/>
      </w:tblPr>
      <w:tblGrid>
        <w:gridCol w:w="2249"/>
        <w:gridCol w:w="2809"/>
      </w:tblGrid>
      <w:tr w:rsidR="0005174E" w:rsidRPr="00F40195" w:rsidTr="00667CC1">
        <w:trPr>
          <w:jc w:val="center"/>
        </w:trPr>
        <w:tc>
          <w:tcPr>
            <w:tcW w:w="2249" w:type="dxa"/>
            <w:tcBorders>
              <w:bottom w:val="thinThickSmallGap" w:sz="24" w:space="0" w:color="auto"/>
            </w:tcBorders>
            <w:vAlign w:val="center"/>
          </w:tcPr>
          <w:p w:rsidR="0005174E" w:rsidRPr="00F40195" w:rsidRDefault="0005174E" w:rsidP="00F40195">
            <w:pPr>
              <w:jc w:val="center"/>
            </w:pPr>
            <w:r w:rsidRPr="00F40195">
              <w:t>State</w:t>
            </w:r>
          </w:p>
        </w:tc>
        <w:tc>
          <w:tcPr>
            <w:tcW w:w="2809" w:type="dxa"/>
            <w:tcBorders>
              <w:bottom w:val="thinThickSmallGap" w:sz="24" w:space="0" w:color="auto"/>
            </w:tcBorders>
            <w:vAlign w:val="center"/>
          </w:tcPr>
          <w:p w:rsidR="0005174E" w:rsidRPr="00F40195" w:rsidRDefault="0005174E" w:rsidP="00F40195">
            <w:pPr>
              <w:jc w:val="center"/>
            </w:pPr>
            <w:r w:rsidRPr="00F40195">
              <w:t>Expenditures Per Pupil</w:t>
            </w:r>
          </w:p>
          <w:p w:rsidR="0005174E" w:rsidRPr="00F40195" w:rsidRDefault="0005174E" w:rsidP="00F40195">
            <w:pPr>
              <w:ind w:right="26"/>
              <w:jc w:val="center"/>
            </w:pPr>
            <w:r w:rsidRPr="00F40195">
              <w:t>(2012-13)</w:t>
            </w:r>
          </w:p>
        </w:tc>
      </w:tr>
      <w:tr w:rsidR="0005174E" w:rsidRPr="00F40195" w:rsidTr="00667CC1">
        <w:trPr>
          <w:jc w:val="center"/>
        </w:trPr>
        <w:tc>
          <w:tcPr>
            <w:tcW w:w="22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280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$10,033</w:t>
            </w:r>
          </w:p>
        </w:tc>
      </w:tr>
      <w:tr w:rsidR="0005174E" w:rsidRPr="00F40195" w:rsidTr="00667CC1">
        <w:trPr>
          <w:jc w:val="center"/>
        </w:trPr>
        <w:tc>
          <w:tcPr>
            <w:tcW w:w="2249" w:type="dxa"/>
            <w:tcBorders>
              <w:top w:val="thinThickSmallGap" w:sz="24" w:space="0" w:color="auto"/>
            </w:tcBorders>
            <w:vAlign w:val="center"/>
          </w:tcPr>
          <w:p w:rsidR="0005174E" w:rsidRPr="00F40195" w:rsidRDefault="0005174E" w:rsidP="00F40195">
            <w:pPr>
              <w:jc w:val="center"/>
            </w:pPr>
            <w:r w:rsidRPr="00F40195">
              <w:t>Vermont</w:t>
            </w:r>
          </w:p>
        </w:tc>
        <w:tc>
          <w:tcPr>
            <w:tcW w:w="2809" w:type="dxa"/>
            <w:tcBorders>
              <w:top w:val="thinThickSmallGap" w:sz="24" w:space="0" w:color="auto"/>
            </w:tcBorders>
            <w:vAlign w:val="center"/>
          </w:tcPr>
          <w:p w:rsidR="0005174E" w:rsidRPr="00F40195" w:rsidRDefault="0005174E" w:rsidP="00F40195">
            <w:pPr>
              <w:jc w:val="center"/>
              <w:rPr>
                <w:color w:val="FF0000"/>
              </w:rPr>
            </w:pPr>
            <w:r w:rsidRPr="00F40195">
              <w:t>$19,752</w:t>
            </w:r>
          </w:p>
        </w:tc>
      </w:tr>
      <w:tr w:rsidR="0005174E" w:rsidRPr="00F40195" w:rsidTr="00667CC1">
        <w:trPr>
          <w:jc w:val="center"/>
        </w:trPr>
        <w:tc>
          <w:tcPr>
            <w:tcW w:w="2249" w:type="dxa"/>
            <w:vAlign w:val="center"/>
          </w:tcPr>
          <w:p w:rsidR="0005174E" w:rsidRPr="00F40195" w:rsidRDefault="0005174E" w:rsidP="00F40195">
            <w:pPr>
              <w:jc w:val="center"/>
            </w:pPr>
            <w:r w:rsidRPr="00F40195">
              <w:t>New Jersey</w:t>
            </w:r>
          </w:p>
        </w:tc>
        <w:tc>
          <w:tcPr>
            <w:tcW w:w="2809" w:type="dxa"/>
            <w:vAlign w:val="center"/>
          </w:tcPr>
          <w:p w:rsidR="0005174E" w:rsidRPr="00F40195" w:rsidRDefault="0005174E" w:rsidP="00F40195">
            <w:pPr>
              <w:jc w:val="center"/>
            </w:pPr>
            <w:r w:rsidRPr="00F40195">
              <w:t>$19,291</w:t>
            </w:r>
          </w:p>
        </w:tc>
      </w:tr>
      <w:tr w:rsidR="0005174E" w:rsidRPr="00F40195" w:rsidTr="00667CC1">
        <w:trPr>
          <w:jc w:val="center"/>
        </w:trPr>
        <w:tc>
          <w:tcPr>
            <w:tcW w:w="2249" w:type="dxa"/>
            <w:vAlign w:val="center"/>
          </w:tcPr>
          <w:p w:rsidR="0005174E" w:rsidRPr="00F40195" w:rsidRDefault="0005174E" w:rsidP="00F40195">
            <w:pPr>
              <w:jc w:val="center"/>
            </w:pPr>
            <w:r w:rsidRPr="00F40195">
              <w:t>Massachusetts</w:t>
            </w:r>
          </w:p>
        </w:tc>
        <w:tc>
          <w:tcPr>
            <w:tcW w:w="2809" w:type="dxa"/>
            <w:vAlign w:val="center"/>
          </w:tcPr>
          <w:p w:rsidR="0005174E" w:rsidRPr="00F40195" w:rsidRDefault="0005174E" w:rsidP="00F40195">
            <w:pPr>
              <w:jc w:val="center"/>
            </w:pPr>
            <w:r w:rsidRPr="00F40195">
              <w:t>$15,881</w:t>
            </w:r>
          </w:p>
        </w:tc>
      </w:tr>
      <w:tr w:rsidR="0005174E" w:rsidRPr="00F40195" w:rsidTr="00667CC1">
        <w:trPr>
          <w:jc w:val="center"/>
        </w:trPr>
        <w:tc>
          <w:tcPr>
            <w:tcW w:w="2249" w:type="dxa"/>
            <w:vAlign w:val="center"/>
          </w:tcPr>
          <w:p w:rsidR="0005174E" w:rsidRPr="00F40195" w:rsidRDefault="0005174E" w:rsidP="00F40195">
            <w:pPr>
              <w:jc w:val="center"/>
            </w:pPr>
            <w:r w:rsidRPr="00F40195">
              <w:t>New Hampshire</w:t>
            </w:r>
          </w:p>
        </w:tc>
        <w:tc>
          <w:tcPr>
            <w:tcW w:w="2809" w:type="dxa"/>
            <w:vAlign w:val="center"/>
          </w:tcPr>
          <w:p w:rsidR="0005174E" w:rsidRPr="00F40195" w:rsidRDefault="0005174E" w:rsidP="00F40195">
            <w:pPr>
              <w:jc w:val="center"/>
            </w:pPr>
            <w:r w:rsidRPr="00F40195">
              <w:t>$15,394</w:t>
            </w:r>
          </w:p>
        </w:tc>
      </w:tr>
      <w:tr w:rsidR="0005174E" w:rsidRPr="00F40195" w:rsidTr="00667CC1">
        <w:trPr>
          <w:trHeight w:val="65"/>
          <w:jc w:val="center"/>
        </w:trPr>
        <w:tc>
          <w:tcPr>
            <w:tcW w:w="2249" w:type="dxa"/>
            <w:vAlign w:val="center"/>
          </w:tcPr>
          <w:p w:rsidR="0005174E" w:rsidRPr="00F40195" w:rsidRDefault="0005174E" w:rsidP="00F40195">
            <w:pPr>
              <w:jc w:val="center"/>
            </w:pPr>
            <w:r w:rsidRPr="00F40195">
              <w:t>Minnesota</w:t>
            </w:r>
          </w:p>
        </w:tc>
        <w:tc>
          <w:tcPr>
            <w:tcW w:w="2809" w:type="dxa"/>
            <w:vAlign w:val="center"/>
          </w:tcPr>
          <w:p w:rsidR="0005174E" w:rsidRPr="00F40195" w:rsidRDefault="0005174E" w:rsidP="00F40195">
            <w:pPr>
              <w:jc w:val="center"/>
            </w:pPr>
            <w:r w:rsidRPr="00F40195">
              <w:t>$11,632</w:t>
            </w:r>
          </w:p>
        </w:tc>
      </w:tr>
      <w:tr w:rsidR="0005174E" w:rsidRPr="00F40195" w:rsidTr="00667CC1">
        <w:trPr>
          <w:jc w:val="center"/>
        </w:trPr>
        <w:tc>
          <w:tcPr>
            <w:tcW w:w="2249" w:type="dxa"/>
            <w:vAlign w:val="center"/>
          </w:tcPr>
          <w:p w:rsidR="0005174E" w:rsidRPr="00F40195" w:rsidRDefault="0005174E" w:rsidP="00F40195">
            <w:pPr>
              <w:jc w:val="center"/>
            </w:pPr>
            <w:r w:rsidRPr="00F40195">
              <w:t>Kansas</w:t>
            </w:r>
          </w:p>
        </w:tc>
        <w:tc>
          <w:tcPr>
            <w:tcW w:w="2809" w:type="dxa"/>
            <w:vAlign w:val="center"/>
          </w:tcPr>
          <w:p w:rsidR="0005174E" w:rsidRPr="00F40195" w:rsidRDefault="0005174E" w:rsidP="00F40195">
            <w:pPr>
              <w:jc w:val="center"/>
            </w:pPr>
            <w:r w:rsidRPr="00F40195">
              <w:rPr>
                <w:color w:val="FF0000"/>
              </w:rPr>
              <w:t>$9,689</w:t>
            </w:r>
          </w:p>
        </w:tc>
      </w:tr>
    </w:tbl>
    <w:p w:rsidR="0005174E" w:rsidRPr="00F40195" w:rsidRDefault="0005174E" w:rsidP="003B0CF5">
      <w:pPr>
        <w:spacing w:line="240" w:lineRule="auto"/>
        <w:ind w:left="720" w:firstLine="720"/>
        <w:jc w:val="center"/>
        <w:rPr>
          <w:rFonts w:cs="Times New Roman"/>
          <w:sz w:val="20"/>
          <w:szCs w:val="20"/>
        </w:rPr>
      </w:pPr>
      <w:r w:rsidRPr="00F40195">
        <w:rPr>
          <w:rFonts w:cs="Times New Roman"/>
          <w:sz w:val="20"/>
          <w:szCs w:val="20"/>
        </w:rPr>
        <w:t xml:space="preserve">Source: National Education Association’s </w:t>
      </w:r>
      <w:r w:rsidRPr="00F40195">
        <w:rPr>
          <w:rFonts w:cs="Times New Roman"/>
          <w:i/>
          <w:sz w:val="20"/>
          <w:szCs w:val="20"/>
        </w:rPr>
        <w:t xml:space="preserve">Rankings and Estimates </w:t>
      </w:r>
      <w:r w:rsidRPr="00F40195">
        <w:rPr>
          <w:rFonts w:cs="Times New Roman"/>
          <w:sz w:val="20"/>
          <w:szCs w:val="20"/>
        </w:rPr>
        <w:t>publication</w:t>
      </w:r>
    </w:p>
    <w:p w:rsidR="0005174E" w:rsidRPr="00F40195" w:rsidRDefault="0005174E" w:rsidP="00F40195">
      <w:pPr>
        <w:spacing w:line="240" w:lineRule="auto"/>
        <w:rPr>
          <w:rFonts w:cs="Times New Roman"/>
        </w:rPr>
      </w:pPr>
    </w:p>
    <w:p w:rsidR="0005174E" w:rsidRPr="00F40195" w:rsidRDefault="0005174E" w:rsidP="00F40195">
      <w:pPr>
        <w:spacing w:line="240" w:lineRule="auto"/>
        <w:rPr>
          <w:rFonts w:cs="Times New Roman"/>
        </w:rPr>
      </w:pPr>
      <w:r w:rsidRPr="00F40195">
        <w:rPr>
          <w:rFonts w:cs="Times New Roman"/>
        </w:rPr>
        <w:t xml:space="preserve">There are multiple factors that can influence the growth, or reduction, of education spending in a state. These can include: changes in the size of the state’s student population, increases in teacher/staff compensation, growth in the number of teachers/staff and increases in costs outside of the state/districts’ power (i.e. fuel or energy costs). Data collected by the National Center for Education Statistics show that employee salaries and benefits account for just over 80% of all </w:t>
      </w:r>
      <w:r w:rsidRPr="00F40195">
        <w:rPr>
          <w:rFonts w:cs="Times New Roman"/>
        </w:rPr>
        <w:lastRenderedPageBreak/>
        <w:t>public school expenditures. The majority of these salary and benefit expenses can be traced to teacher salaries. Consequently, increases in teacher pay can drive up total educational expenditures. Kentucky’s average teacher salaries a</w:t>
      </w:r>
      <w:r w:rsidR="00F72B94">
        <w:rPr>
          <w:rFonts w:cs="Times New Roman"/>
        </w:rPr>
        <w:t>re $2,739 (5.8 percent</w:t>
      </w:r>
      <w:r w:rsidRPr="00F40195">
        <w:rPr>
          <w:rFonts w:cs="Times New Roman"/>
        </w:rPr>
        <w:t>) above salaries in Kansas but trail average teacher salaries in the other five high performing st</w:t>
      </w:r>
      <w:r w:rsidR="00F72B94">
        <w:rPr>
          <w:rFonts w:cs="Times New Roman"/>
        </w:rPr>
        <w:t>ates – ranging from $2,323 (4.6 percent) in Vermont to $22,076 (44 percent</w:t>
      </w:r>
      <w:r w:rsidRPr="00F40195">
        <w:rPr>
          <w:rFonts w:cs="Times New Roman"/>
        </w:rPr>
        <w:t xml:space="preserve">) in Massachusetts. </w:t>
      </w:r>
    </w:p>
    <w:p w:rsidR="0005174E" w:rsidRPr="00F40195" w:rsidRDefault="0005174E" w:rsidP="00F40195">
      <w:pPr>
        <w:spacing w:line="240" w:lineRule="auto"/>
        <w:rPr>
          <w:rFonts w:cs="Times New Roman"/>
        </w:rPr>
      </w:pPr>
    </w:p>
    <w:p w:rsidR="0005174E" w:rsidRPr="00F40195" w:rsidRDefault="0005174E" w:rsidP="00F40195">
      <w:pPr>
        <w:spacing w:line="240" w:lineRule="auto"/>
        <w:rPr>
          <w:rFonts w:cs="Times New Roman"/>
        </w:rPr>
      </w:pPr>
      <w:r w:rsidRPr="00F40195">
        <w:rPr>
          <w:rFonts w:cs="Times New Roman"/>
        </w:rPr>
        <w:t>This study also adjusted the average teacher salaries in Kentucky and the six high performing states by the Comparable Wage Index (CWI). The CWI was created by the National Center for Education Statistics (NCES) in an attempt to measure the systematic, regional variations in salaries of college graduates who are not educators. This means that the CWI attempts to adjust funding amounts based on a state’s cost of doing business. When average teacher salaries are adjusted for CWI Kentucky continues to lead the average salary in Kansas and trail the average teacher salaries in the other five high achieving states.</w:t>
      </w:r>
    </w:p>
    <w:p w:rsidR="0005174E" w:rsidRPr="00F40195" w:rsidRDefault="0005174E" w:rsidP="00F40195">
      <w:pPr>
        <w:spacing w:line="240" w:lineRule="auto"/>
        <w:rPr>
          <w:rFonts w:cs="Times New Roman"/>
        </w:rPr>
      </w:pPr>
    </w:p>
    <w:p w:rsidR="003B0CF5" w:rsidRDefault="003B0CF5">
      <w:pPr>
        <w:rPr>
          <w:rFonts w:cs="Times New Roman"/>
          <w:b/>
        </w:rPr>
      </w:pPr>
      <w:r>
        <w:rPr>
          <w:rFonts w:cs="Times New Roman"/>
          <w:b/>
        </w:rPr>
        <w:br w:type="page"/>
      </w:r>
    </w:p>
    <w:p w:rsidR="003B0CF5" w:rsidRDefault="003B0CF5" w:rsidP="00F40195">
      <w:pPr>
        <w:spacing w:line="240" w:lineRule="auto"/>
        <w:jc w:val="center"/>
        <w:rPr>
          <w:rFonts w:cs="Times New Roman"/>
          <w:b/>
        </w:rPr>
      </w:pPr>
      <w:r>
        <w:rPr>
          <w:rFonts w:cs="Times New Roman"/>
          <w:b/>
        </w:rPr>
        <w:lastRenderedPageBreak/>
        <w:t>Table 1.H</w:t>
      </w:r>
    </w:p>
    <w:p w:rsidR="0005174E" w:rsidRDefault="0005174E" w:rsidP="00F40195">
      <w:pPr>
        <w:spacing w:line="240" w:lineRule="auto"/>
        <w:jc w:val="center"/>
        <w:rPr>
          <w:rFonts w:cs="Times New Roman"/>
          <w:b/>
        </w:rPr>
      </w:pPr>
      <w:r w:rsidRPr="00F40195">
        <w:rPr>
          <w:rFonts w:cs="Times New Roman"/>
          <w:b/>
        </w:rPr>
        <w:t>Average Teacher Salaries</w:t>
      </w:r>
    </w:p>
    <w:p w:rsidR="003B0CF5" w:rsidRPr="00F40195" w:rsidRDefault="003B0CF5" w:rsidP="00F40195">
      <w:pPr>
        <w:spacing w:line="240" w:lineRule="auto"/>
        <w:jc w:val="center"/>
        <w:rPr>
          <w:rFonts w:cs="Times New Roman"/>
          <w:b/>
        </w:rPr>
      </w:pPr>
    </w:p>
    <w:tbl>
      <w:tblPr>
        <w:tblStyle w:val="TableGrid"/>
        <w:tblW w:w="0" w:type="auto"/>
        <w:jc w:val="center"/>
        <w:tblLook w:val="04A0" w:firstRow="1" w:lastRow="0" w:firstColumn="1" w:lastColumn="0" w:noHBand="0" w:noVBand="1"/>
      </w:tblPr>
      <w:tblGrid>
        <w:gridCol w:w="2249"/>
        <w:gridCol w:w="2223"/>
        <w:gridCol w:w="2223"/>
      </w:tblGrid>
      <w:tr w:rsidR="0005174E" w:rsidRPr="00F40195" w:rsidTr="00667CC1">
        <w:trPr>
          <w:jc w:val="center"/>
        </w:trPr>
        <w:tc>
          <w:tcPr>
            <w:tcW w:w="2249" w:type="dxa"/>
            <w:vMerge w:val="restart"/>
            <w:vAlign w:val="center"/>
          </w:tcPr>
          <w:p w:rsidR="0005174E" w:rsidRPr="00F40195" w:rsidRDefault="0005174E" w:rsidP="00F40195">
            <w:pPr>
              <w:jc w:val="center"/>
            </w:pPr>
            <w:r w:rsidRPr="00F40195">
              <w:t>State</w:t>
            </w:r>
          </w:p>
        </w:tc>
        <w:tc>
          <w:tcPr>
            <w:tcW w:w="4446" w:type="dxa"/>
            <w:gridSpan w:val="2"/>
            <w:tcBorders>
              <w:bottom w:val="single" w:sz="4" w:space="0" w:color="auto"/>
            </w:tcBorders>
            <w:vAlign w:val="center"/>
          </w:tcPr>
          <w:p w:rsidR="0005174E" w:rsidRPr="00F40195" w:rsidRDefault="0005174E" w:rsidP="00F40195">
            <w:pPr>
              <w:jc w:val="center"/>
            </w:pPr>
            <w:r w:rsidRPr="00F40195">
              <w:t>Average Teacher Salaries</w:t>
            </w:r>
          </w:p>
        </w:tc>
      </w:tr>
      <w:tr w:rsidR="0005174E" w:rsidRPr="00F40195" w:rsidTr="00667CC1">
        <w:trPr>
          <w:jc w:val="center"/>
        </w:trPr>
        <w:tc>
          <w:tcPr>
            <w:tcW w:w="2249" w:type="dxa"/>
            <w:vMerge/>
            <w:tcBorders>
              <w:bottom w:val="thinThickSmallGap" w:sz="24" w:space="0" w:color="auto"/>
            </w:tcBorders>
            <w:vAlign w:val="center"/>
          </w:tcPr>
          <w:p w:rsidR="0005174E" w:rsidRPr="00F40195" w:rsidRDefault="0005174E" w:rsidP="00F40195">
            <w:pPr>
              <w:jc w:val="center"/>
            </w:pPr>
          </w:p>
        </w:tc>
        <w:tc>
          <w:tcPr>
            <w:tcW w:w="2223" w:type="dxa"/>
            <w:tcBorders>
              <w:top w:val="single" w:sz="4" w:space="0" w:color="auto"/>
              <w:bottom w:val="thinThickSmallGap" w:sz="24" w:space="0" w:color="auto"/>
            </w:tcBorders>
            <w:vAlign w:val="center"/>
          </w:tcPr>
          <w:p w:rsidR="0005174E" w:rsidRPr="00F40195" w:rsidRDefault="0005174E" w:rsidP="00F40195">
            <w:pPr>
              <w:jc w:val="center"/>
            </w:pPr>
            <w:r w:rsidRPr="00F40195">
              <w:t>Unadjusted</w:t>
            </w:r>
          </w:p>
          <w:p w:rsidR="0005174E" w:rsidRPr="00F40195" w:rsidRDefault="0005174E" w:rsidP="00F40195">
            <w:pPr>
              <w:jc w:val="center"/>
            </w:pPr>
            <w:r w:rsidRPr="00F40195">
              <w:t>(2012-13)</w:t>
            </w:r>
          </w:p>
        </w:tc>
        <w:tc>
          <w:tcPr>
            <w:tcW w:w="2223" w:type="dxa"/>
            <w:tcBorders>
              <w:top w:val="single" w:sz="4" w:space="0" w:color="auto"/>
              <w:bottom w:val="thinThickSmallGap" w:sz="24" w:space="0" w:color="auto"/>
            </w:tcBorders>
          </w:tcPr>
          <w:p w:rsidR="0005174E" w:rsidRPr="00F40195" w:rsidRDefault="0005174E" w:rsidP="00F40195">
            <w:pPr>
              <w:jc w:val="center"/>
            </w:pPr>
            <w:r w:rsidRPr="00F40195">
              <w:t>Adjusted for CWI</w:t>
            </w:r>
          </w:p>
          <w:p w:rsidR="0005174E" w:rsidRPr="00F40195" w:rsidRDefault="0005174E" w:rsidP="00F40195">
            <w:pPr>
              <w:jc w:val="center"/>
            </w:pPr>
            <w:r w:rsidRPr="00F40195">
              <w:t>(2012-13)</w:t>
            </w:r>
          </w:p>
        </w:tc>
      </w:tr>
      <w:tr w:rsidR="0005174E" w:rsidRPr="00F40195" w:rsidTr="00667CC1">
        <w:trPr>
          <w:trHeight w:val="378"/>
          <w:jc w:val="center"/>
        </w:trPr>
        <w:tc>
          <w:tcPr>
            <w:tcW w:w="22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222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$50,203</w:t>
            </w:r>
          </w:p>
        </w:tc>
        <w:tc>
          <w:tcPr>
            <w:tcW w:w="222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$54,037</w:t>
            </w:r>
          </w:p>
        </w:tc>
      </w:tr>
      <w:tr w:rsidR="0005174E" w:rsidRPr="00F40195" w:rsidTr="00667CC1">
        <w:trPr>
          <w:jc w:val="center"/>
        </w:trPr>
        <w:tc>
          <w:tcPr>
            <w:tcW w:w="2249" w:type="dxa"/>
            <w:tcBorders>
              <w:top w:val="thinThickSmallGap" w:sz="24" w:space="0" w:color="auto"/>
            </w:tcBorders>
            <w:vAlign w:val="center"/>
          </w:tcPr>
          <w:p w:rsidR="0005174E" w:rsidRPr="00F40195" w:rsidRDefault="0005174E" w:rsidP="00F40195">
            <w:pPr>
              <w:jc w:val="center"/>
            </w:pPr>
            <w:r w:rsidRPr="00F40195">
              <w:t>Massachusetts</w:t>
            </w:r>
          </w:p>
        </w:tc>
        <w:tc>
          <w:tcPr>
            <w:tcW w:w="2223" w:type="dxa"/>
            <w:tcBorders>
              <w:top w:val="thinThickSmallGap" w:sz="24" w:space="0" w:color="auto"/>
            </w:tcBorders>
            <w:vAlign w:val="center"/>
          </w:tcPr>
          <w:p w:rsidR="0005174E" w:rsidRPr="00F40195" w:rsidRDefault="0005174E" w:rsidP="00F40195">
            <w:pPr>
              <w:jc w:val="center"/>
              <w:rPr>
                <w:color w:val="FF0000"/>
              </w:rPr>
            </w:pPr>
            <w:r w:rsidRPr="00F40195">
              <w:t>$72,279</w:t>
            </w:r>
          </w:p>
        </w:tc>
        <w:tc>
          <w:tcPr>
            <w:tcW w:w="2223" w:type="dxa"/>
            <w:tcBorders>
              <w:top w:val="thinThickSmallGap" w:sz="24" w:space="0" w:color="auto"/>
            </w:tcBorders>
            <w:vAlign w:val="center"/>
          </w:tcPr>
          <w:p w:rsidR="0005174E" w:rsidRPr="00F40195" w:rsidRDefault="0005174E" w:rsidP="00F40195">
            <w:pPr>
              <w:jc w:val="center"/>
              <w:rPr>
                <w:color w:val="FF0000"/>
              </w:rPr>
            </w:pPr>
            <w:r w:rsidRPr="00F40195">
              <w:t>$63,308</w:t>
            </w:r>
          </w:p>
        </w:tc>
      </w:tr>
      <w:tr w:rsidR="0005174E" w:rsidRPr="00F40195" w:rsidTr="00667CC1">
        <w:trPr>
          <w:jc w:val="center"/>
        </w:trPr>
        <w:tc>
          <w:tcPr>
            <w:tcW w:w="2249" w:type="dxa"/>
            <w:vAlign w:val="center"/>
          </w:tcPr>
          <w:p w:rsidR="0005174E" w:rsidRPr="00F40195" w:rsidRDefault="0005174E" w:rsidP="00F40195">
            <w:pPr>
              <w:jc w:val="center"/>
            </w:pPr>
            <w:r w:rsidRPr="00F40195">
              <w:t>New Jersey</w:t>
            </w:r>
          </w:p>
        </w:tc>
        <w:tc>
          <w:tcPr>
            <w:tcW w:w="2223" w:type="dxa"/>
            <w:vAlign w:val="center"/>
          </w:tcPr>
          <w:p w:rsidR="0005174E" w:rsidRPr="00F40195" w:rsidRDefault="0005174E" w:rsidP="00F40195">
            <w:pPr>
              <w:jc w:val="center"/>
            </w:pPr>
            <w:r w:rsidRPr="00F40195">
              <w:t>$68,797</w:t>
            </w:r>
          </w:p>
        </w:tc>
        <w:tc>
          <w:tcPr>
            <w:tcW w:w="2223" w:type="dxa"/>
            <w:vAlign w:val="center"/>
          </w:tcPr>
          <w:p w:rsidR="0005174E" w:rsidRPr="00F40195" w:rsidRDefault="0005174E" w:rsidP="00F40195">
            <w:pPr>
              <w:jc w:val="center"/>
            </w:pPr>
            <w:r w:rsidRPr="00F40195">
              <w:t>$57,816</w:t>
            </w:r>
          </w:p>
        </w:tc>
      </w:tr>
      <w:tr w:rsidR="0005174E" w:rsidRPr="00F40195" w:rsidTr="00667CC1">
        <w:trPr>
          <w:jc w:val="center"/>
        </w:trPr>
        <w:tc>
          <w:tcPr>
            <w:tcW w:w="2249" w:type="dxa"/>
            <w:vAlign w:val="center"/>
          </w:tcPr>
          <w:p w:rsidR="0005174E" w:rsidRPr="00F40195" w:rsidRDefault="0005174E" w:rsidP="00F40195">
            <w:pPr>
              <w:jc w:val="center"/>
            </w:pPr>
            <w:r w:rsidRPr="00F40195">
              <w:t>Minnesota</w:t>
            </w:r>
          </w:p>
        </w:tc>
        <w:tc>
          <w:tcPr>
            <w:tcW w:w="2223" w:type="dxa"/>
            <w:vAlign w:val="center"/>
          </w:tcPr>
          <w:p w:rsidR="0005174E" w:rsidRPr="00F40195" w:rsidRDefault="0005174E" w:rsidP="00F40195">
            <w:pPr>
              <w:jc w:val="center"/>
            </w:pPr>
            <w:r w:rsidRPr="00F40195">
              <w:t>$56,268</w:t>
            </w:r>
          </w:p>
        </w:tc>
        <w:tc>
          <w:tcPr>
            <w:tcW w:w="2223" w:type="dxa"/>
            <w:vAlign w:val="center"/>
          </w:tcPr>
          <w:p w:rsidR="0005174E" w:rsidRPr="00F40195" w:rsidRDefault="0005174E" w:rsidP="00F40195">
            <w:pPr>
              <w:jc w:val="center"/>
            </w:pPr>
            <w:r w:rsidRPr="00F40195">
              <w:t>$56,589</w:t>
            </w:r>
          </w:p>
        </w:tc>
      </w:tr>
      <w:tr w:rsidR="0005174E" w:rsidRPr="00F40195" w:rsidTr="00667CC1">
        <w:trPr>
          <w:jc w:val="center"/>
        </w:trPr>
        <w:tc>
          <w:tcPr>
            <w:tcW w:w="2249" w:type="dxa"/>
            <w:vAlign w:val="center"/>
          </w:tcPr>
          <w:p w:rsidR="0005174E" w:rsidRPr="00F40195" w:rsidRDefault="0005174E" w:rsidP="00F40195">
            <w:pPr>
              <w:jc w:val="center"/>
            </w:pPr>
            <w:r w:rsidRPr="00F40195">
              <w:t>New Hampshire</w:t>
            </w:r>
          </w:p>
        </w:tc>
        <w:tc>
          <w:tcPr>
            <w:tcW w:w="2223" w:type="dxa"/>
            <w:vAlign w:val="center"/>
          </w:tcPr>
          <w:p w:rsidR="0005174E" w:rsidRPr="00F40195" w:rsidRDefault="0005174E" w:rsidP="00F40195">
            <w:pPr>
              <w:jc w:val="center"/>
            </w:pPr>
            <w:r w:rsidRPr="00F40195">
              <w:t>$55,599</w:t>
            </w:r>
          </w:p>
        </w:tc>
        <w:tc>
          <w:tcPr>
            <w:tcW w:w="2223" w:type="dxa"/>
            <w:vAlign w:val="center"/>
          </w:tcPr>
          <w:p w:rsidR="0005174E" w:rsidRPr="00F40195" w:rsidRDefault="0005174E" w:rsidP="00F40195">
            <w:pPr>
              <w:jc w:val="center"/>
            </w:pPr>
            <w:r w:rsidRPr="00F40195">
              <w:t>$56,244</w:t>
            </w:r>
          </w:p>
        </w:tc>
      </w:tr>
      <w:tr w:rsidR="0005174E" w:rsidRPr="00F40195" w:rsidTr="00667CC1">
        <w:trPr>
          <w:jc w:val="center"/>
        </w:trPr>
        <w:tc>
          <w:tcPr>
            <w:tcW w:w="2249" w:type="dxa"/>
            <w:vAlign w:val="center"/>
          </w:tcPr>
          <w:p w:rsidR="0005174E" w:rsidRPr="00F40195" w:rsidRDefault="0005174E" w:rsidP="00F40195">
            <w:pPr>
              <w:jc w:val="center"/>
            </w:pPr>
            <w:r w:rsidRPr="00F40195">
              <w:t>Vermont</w:t>
            </w:r>
          </w:p>
        </w:tc>
        <w:tc>
          <w:tcPr>
            <w:tcW w:w="2223" w:type="dxa"/>
            <w:vAlign w:val="center"/>
          </w:tcPr>
          <w:p w:rsidR="0005174E" w:rsidRPr="00F40195" w:rsidRDefault="0005174E" w:rsidP="00F40195">
            <w:pPr>
              <w:jc w:val="center"/>
            </w:pPr>
            <w:r w:rsidRPr="00F40195">
              <w:t>$52,526</w:t>
            </w:r>
          </w:p>
        </w:tc>
        <w:tc>
          <w:tcPr>
            <w:tcW w:w="2223" w:type="dxa"/>
            <w:vAlign w:val="center"/>
          </w:tcPr>
          <w:p w:rsidR="0005174E" w:rsidRPr="00F40195" w:rsidRDefault="0005174E" w:rsidP="00F40195">
            <w:pPr>
              <w:jc w:val="center"/>
            </w:pPr>
            <w:r w:rsidRPr="00F40195">
              <w:t>$58,410</w:t>
            </w:r>
          </w:p>
        </w:tc>
      </w:tr>
      <w:tr w:rsidR="0005174E" w:rsidRPr="00F40195" w:rsidTr="00667CC1">
        <w:trPr>
          <w:jc w:val="center"/>
        </w:trPr>
        <w:tc>
          <w:tcPr>
            <w:tcW w:w="2249" w:type="dxa"/>
            <w:vAlign w:val="center"/>
          </w:tcPr>
          <w:p w:rsidR="0005174E" w:rsidRPr="00F40195" w:rsidRDefault="0005174E" w:rsidP="00F40195">
            <w:pPr>
              <w:jc w:val="center"/>
            </w:pPr>
            <w:r w:rsidRPr="00F40195">
              <w:t>Kansas</w:t>
            </w:r>
          </w:p>
        </w:tc>
        <w:tc>
          <w:tcPr>
            <w:tcW w:w="2223" w:type="dxa"/>
            <w:vAlign w:val="center"/>
          </w:tcPr>
          <w:p w:rsidR="0005174E" w:rsidRPr="00F40195" w:rsidRDefault="0005174E" w:rsidP="00F40195">
            <w:pPr>
              <w:jc w:val="center"/>
            </w:pPr>
            <w:r w:rsidRPr="00F40195">
              <w:rPr>
                <w:color w:val="FF0000"/>
              </w:rPr>
              <w:t>$47,464</w:t>
            </w:r>
          </w:p>
        </w:tc>
        <w:tc>
          <w:tcPr>
            <w:tcW w:w="2223" w:type="dxa"/>
            <w:vAlign w:val="center"/>
          </w:tcPr>
          <w:p w:rsidR="0005174E" w:rsidRPr="00F40195" w:rsidRDefault="0005174E" w:rsidP="00F40195">
            <w:pPr>
              <w:jc w:val="center"/>
            </w:pPr>
            <w:r w:rsidRPr="00F40195">
              <w:rPr>
                <w:color w:val="FF0000"/>
              </w:rPr>
              <w:t>$52,643</w:t>
            </w:r>
          </w:p>
        </w:tc>
      </w:tr>
    </w:tbl>
    <w:p w:rsidR="0005174E" w:rsidRPr="00F40195" w:rsidRDefault="0005174E" w:rsidP="00F40195">
      <w:pPr>
        <w:spacing w:line="240" w:lineRule="auto"/>
        <w:jc w:val="center"/>
        <w:rPr>
          <w:rFonts w:cs="Times New Roman"/>
          <w:sz w:val="20"/>
          <w:szCs w:val="20"/>
        </w:rPr>
      </w:pPr>
      <w:r w:rsidRPr="00F40195">
        <w:rPr>
          <w:rFonts w:cs="Times New Roman"/>
          <w:sz w:val="20"/>
          <w:szCs w:val="20"/>
        </w:rPr>
        <w:t xml:space="preserve">Source: National Education Association’s </w:t>
      </w:r>
      <w:r w:rsidRPr="00F40195">
        <w:rPr>
          <w:rFonts w:cs="Times New Roman"/>
          <w:i/>
          <w:sz w:val="20"/>
          <w:szCs w:val="20"/>
        </w:rPr>
        <w:t xml:space="preserve">Rankings and Estimates </w:t>
      </w:r>
      <w:r w:rsidRPr="00F40195">
        <w:rPr>
          <w:rFonts w:cs="Times New Roman"/>
          <w:sz w:val="20"/>
          <w:szCs w:val="20"/>
        </w:rPr>
        <w:t>publication</w:t>
      </w:r>
    </w:p>
    <w:p w:rsidR="0005174E" w:rsidRPr="00F40195" w:rsidRDefault="0005174E" w:rsidP="00F40195">
      <w:pPr>
        <w:spacing w:line="240" w:lineRule="auto"/>
        <w:rPr>
          <w:rFonts w:cs="Times New Roman"/>
          <w:b/>
        </w:rPr>
      </w:pPr>
    </w:p>
    <w:p w:rsidR="0005174E" w:rsidRPr="00F40195" w:rsidRDefault="0005174E" w:rsidP="008D674A">
      <w:pPr>
        <w:pStyle w:val="Heading3"/>
      </w:pPr>
      <w:bookmarkStart w:id="138" w:name="_Toc395180723"/>
      <w:r w:rsidRPr="00F40195">
        <w:t>Household Income</w:t>
      </w:r>
      <w:bookmarkEnd w:id="138"/>
    </w:p>
    <w:p w:rsidR="0005174E" w:rsidRPr="00F40195" w:rsidRDefault="0005174E" w:rsidP="00F40195">
      <w:pPr>
        <w:spacing w:line="240" w:lineRule="auto"/>
        <w:rPr>
          <w:rFonts w:cs="Times New Roman"/>
        </w:rPr>
      </w:pPr>
      <w:r w:rsidRPr="00F40195">
        <w:rPr>
          <w:rFonts w:cs="Times New Roman"/>
        </w:rPr>
        <w:t xml:space="preserve">The higher a state’s total household income the greater </w:t>
      </w:r>
      <w:proofErr w:type="gramStart"/>
      <w:r w:rsidRPr="00F40195">
        <w:rPr>
          <w:rFonts w:cs="Times New Roman"/>
        </w:rPr>
        <w:t>its</w:t>
      </w:r>
      <w:proofErr w:type="gramEnd"/>
      <w:r w:rsidRPr="00F40195">
        <w:rPr>
          <w:rFonts w:cs="Times New Roman"/>
        </w:rPr>
        <w:t xml:space="preserve"> potential to raise state and local funding for public education.  According to the U.S. Census, Kentucky’s median household income in 2012 was $41,086. Kentucky’s median income was lower than all six high performing sta</w:t>
      </w:r>
      <w:r w:rsidR="00F72B94">
        <w:rPr>
          <w:rFonts w:cs="Times New Roman"/>
        </w:rPr>
        <w:t>tes – ranging from $8,917 (21.7 percent</w:t>
      </w:r>
      <w:r w:rsidRPr="00F40195">
        <w:rPr>
          <w:rFonts w:cs="Times New Roman"/>
        </w:rPr>
        <w:t xml:space="preserve">) in </w:t>
      </w:r>
      <w:r w:rsidR="00F72B94">
        <w:rPr>
          <w:rFonts w:cs="Times New Roman"/>
        </w:rPr>
        <w:t>Kansas to $26,733 (65.1 percent</w:t>
      </w:r>
      <w:r w:rsidRPr="00F40195">
        <w:rPr>
          <w:rFonts w:cs="Times New Roman"/>
        </w:rPr>
        <w:t>) in New Hampshire.</w:t>
      </w:r>
    </w:p>
    <w:p w:rsidR="0005174E" w:rsidRPr="00F40195" w:rsidRDefault="0005174E" w:rsidP="00F40195">
      <w:pPr>
        <w:spacing w:line="240" w:lineRule="auto"/>
        <w:rPr>
          <w:rFonts w:cs="Times New Roman"/>
        </w:rPr>
      </w:pPr>
    </w:p>
    <w:p w:rsidR="003B0CF5" w:rsidRDefault="003B0CF5" w:rsidP="00F40195">
      <w:pPr>
        <w:spacing w:line="240" w:lineRule="auto"/>
        <w:jc w:val="center"/>
        <w:rPr>
          <w:rFonts w:cs="Times New Roman"/>
          <w:b/>
        </w:rPr>
      </w:pPr>
      <w:r>
        <w:rPr>
          <w:rFonts w:cs="Times New Roman"/>
          <w:b/>
        </w:rPr>
        <w:t>Table 1.I</w:t>
      </w:r>
    </w:p>
    <w:p w:rsidR="0005174E" w:rsidRDefault="0005174E" w:rsidP="00F40195">
      <w:pPr>
        <w:spacing w:line="240" w:lineRule="auto"/>
        <w:jc w:val="center"/>
        <w:rPr>
          <w:rFonts w:cs="Times New Roman"/>
          <w:b/>
        </w:rPr>
      </w:pPr>
      <w:r w:rsidRPr="00F40195">
        <w:rPr>
          <w:rFonts w:cs="Times New Roman"/>
          <w:b/>
        </w:rPr>
        <w:t xml:space="preserve">Median Household Income </w:t>
      </w:r>
      <w:r w:rsidR="003B0CF5">
        <w:rPr>
          <w:rFonts w:cs="Times New Roman"/>
          <w:b/>
        </w:rPr>
        <w:t>–</w:t>
      </w:r>
      <w:r w:rsidRPr="00F40195">
        <w:rPr>
          <w:rFonts w:cs="Times New Roman"/>
          <w:b/>
        </w:rPr>
        <w:t xml:space="preserve"> 2012</w:t>
      </w:r>
    </w:p>
    <w:p w:rsidR="003B0CF5" w:rsidRPr="00F40195" w:rsidRDefault="003B0CF5" w:rsidP="00F40195">
      <w:pPr>
        <w:spacing w:line="240" w:lineRule="auto"/>
        <w:jc w:val="center"/>
        <w:rPr>
          <w:rFonts w:cs="Times New Roman"/>
          <w:b/>
        </w:rPr>
      </w:pPr>
    </w:p>
    <w:tbl>
      <w:tblPr>
        <w:tblStyle w:val="TableGrid"/>
        <w:tblW w:w="0" w:type="auto"/>
        <w:jc w:val="center"/>
        <w:tblLook w:val="04A0" w:firstRow="1" w:lastRow="0" w:firstColumn="1" w:lastColumn="0" w:noHBand="0" w:noVBand="1"/>
      </w:tblPr>
      <w:tblGrid>
        <w:gridCol w:w="2249"/>
        <w:gridCol w:w="2223"/>
      </w:tblGrid>
      <w:tr w:rsidR="0005174E" w:rsidRPr="00F40195" w:rsidTr="00667CC1">
        <w:trPr>
          <w:jc w:val="center"/>
        </w:trPr>
        <w:tc>
          <w:tcPr>
            <w:tcW w:w="2249" w:type="dxa"/>
            <w:tcBorders>
              <w:bottom w:val="thinThickSmallGap" w:sz="24" w:space="0" w:color="auto"/>
            </w:tcBorders>
            <w:vAlign w:val="center"/>
          </w:tcPr>
          <w:p w:rsidR="0005174E" w:rsidRPr="00F40195" w:rsidRDefault="0005174E" w:rsidP="00F40195">
            <w:pPr>
              <w:jc w:val="center"/>
            </w:pPr>
            <w:r w:rsidRPr="00F40195">
              <w:t>State</w:t>
            </w:r>
          </w:p>
        </w:tc>
        <w:tc>
          <w:tcPr>
            <w:tcW w:w="2223" w:type="dxa"/>
            <w:tcBorders>
              <w:bottom w:val="thinThickSmallGap" w:sz="24" w:space="0" w:color="auto"/>
            </w:tcBorders>
            <w:vAlign w:val="center"/>
          </w:tcPr>
          <w:p w:rsidR="0005174E" w:rsidRPr="00F40195" w:rsidRDefault="0005174E" w:rsidP="00F40195">
            <w:pPr>
              <w:jc w:val="center"/>
            </w:pPr>
            <w:r w:rsidRPr="00F40195">
              <w:t>Median Household Income - 2012</w:t>
            </w:r>
          </w:p>
        </w:tc>
      </w:tr>
      <w:tr w:rsidR="0005174E" w:rsidRPr="00F40195" w:rsidTr="00667CC1">
        <w:trPr>
          <w:jc w:val="center"/>
        </w:trPr>
        <w:tc>
          <w:tcPr>
            <w:tcW w:w="22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222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$41,086</w:t>
            </w:r>
          </w:p>
        </w:tc>
      </w:tr>
      <w:tr w:rsidR="0005174E" w:rsidRPr="00F40195" w:rsidTr="00667CC1">
        <w:trPr>
          <w:jc w:val="center"/>
        </w:trPr>
        <w:tc>
          <w:tcPr>
            <w:tcW w:w="2249" w:type="dxa"/>
            <w:tcBorders>
              <w:top w:val="thinThickSmallGap" w:sz="24" w:space="0" w:color="auto"/>
            </w:tcBorders>
            <w:vAlign w:val="center"/>
          </w:tcPr>
          <w:p w:rsidR="0005174E" w:rsidRPr="00F40195" w:rsidRDefault="0005174E" w:rsidP="00F40195">
            <w:pPr>
              <w:jc w:val="center"/>
            </w:pPr>
            <w:r w:rsidRPr="00F40195">
              <w:t>Kansas</w:t>
            </w:r>
          </w:p>
        </w:tc>
        <w:tc>
          <w:tcPr>
            <w:tcW w:w="2223" w:type="dxa"/>
            <w:tcBorders>
              <w:top w:val="thinThickSmallGap" w:sz="24" w:space="0" w:color="auto"/>
            </w:tcBorders>
            <w:vAlign w:val="center"/>
          </w:tcPr>
          <w:p w:rsidR="0005174E" w:rsidRPr="00F40195" w:rsidRDefault="0005174E" w:rsidP="00F40195">
            <w:pPr>
              <w:jc w:val="center"/>
            </w:pPr>
            <w:r w:rsidRPr="00F40195">
              <w:t>$50,003</w:t>
            </w:r>
          </w:p>
        </w:tc>
      </w:tr>
      <w:tr w:rsidR="0005174E" w:rsidRPr="00F40195" w:rsidTr="00667CC1">
        <w:trPr>
          <w:jc w:val="center"/>
        </w:trPr>
        <w:tc>
          <w:tcPr>
            <w:tcW w:w="2249" w:type="dxa"/>
            <w:vAlign w:val="center"/>
          </w:tcPr>
          <w:p w:rsidR="0005174E" w:rsidRPr="00F40195" w:rsidRDefault="0005174E" w:rsidP="00F40195">
            <w:pPr>
              <w:jc w:val="center"/>
            </w:pPr>
            <w:r w:rsidRPr="00F40195">
              <w:t>Massachusetts</w:t>
            </w:r>
          </w:p>
        </w:tc>
        <w:tc>
          <w:tcPr>
            <w:tcW w:w="2223" w:type="dxa"/>
            <w:vAlign w:val="center"/>
          </w:tcPr>
          <w:p w:rsidR="0005174E" w:rsidRPr="00F40195" w:rsidRDefault="0005174E" w:rsidP="00F40195">
            <w:pPr>
              <w:jc w:val="center"/>
            </w:pPr>
            <w:r w:rsidRPr="00F40195">
              <w:t>$63,656</w:t>
            </w:r>
          </w:p>
        </w:tc>
      </w:tr>
      <w:tr w:rsidR="0005174E" w:rsidRPr="00F40195" w:rsidTr="00667CC1">
        <w:trPr>
          <w:jc w:val="center"/>
        </w:trPr>
        <w:tc>
          <w:tcPr>
            <w:tcW w:w="2249" w:type="dxa"/>
            <w:vAlign w:val="center"/>
          </w:tcPr>
          <w:p w:rsidR="0005174E" w:rsidRPr="00F40195" w:rsidRDefault="0005174E" w:rsidP="00F40195">
            <w:pPr>
              <w:jc w:val="center"/>
            </w:pPr>
            <w:r w:rsidRPr="00F40195">
              <w:t>Minnesota</w:t>
            </w:r>
          </w:p>
        </w:tc>
        <w:tc>
          <w:tcPr>
            <w:tcW w:w="2223" w:type="dxa"/>
            <w:vAlign w:val="center"/>
          </w:tcPr>
          <w:p w:rsidR="0005174E" w:rsidRPr="00F40195" w:rsidRDefault="0005174E" w:rsidP="00F40195">
            <w:pPr>
              <w:jc w:val="center"/>
            </w:pPr>
            <w:r w:rsidRPr="00F40195">
              <w:t>$61,795</w:t>
            </w:r>
          </w:p>
        </w:tc>
      </w:tr>
      <w:tr w:rsidR="0005174E" w:rsidRPr="00F40195" w:rsidTr="00667CC1">
        <w:trPr>
          <w:jc w:val="center"/>
        </w:trPr>
        <w:tc>
          <w:tcPr>
            <w:tcW w:w="2249" w:type="dxa"/>
            <w:vAlign w:val="center"/>
          </w:tcPr>
          <w:p w:rsidR="0005174E" w:rsidRPr="00F40195" w:rsidRDefault="0005174E" w:rsidP="00F40195">
            <w:pPr>
              <w:jc w:val="center"/>
            </w:pPr>
            <w:r w:rsidRPr="00F40195">
              <w:t>New Hampshire</w:t>
            </w:r>
          </w:p>
        </w:tc>
        <w:tc>
          <w:tcPr>
            <w:tcW w:w="2223" w:type="dxa"/>
            <w:vAlign w:val="center"/>
          </w:tcPr>
          <w:p w:rsidR="0005174E" w:rsidRPr="00F40195" w:rsidRDefault="0005174E" w:rsidP="00F40195">
            <w:pPr>
              <w:jc w:val="center"/>
            </w:pPr>
            <w:r w:rsidRPr="00F40195">
              <w:t>$67,819</w:t>
            </w:r>
          </w:p>
        </w:tc>
      </w:tr>
      <w:tr w:rsidR="0005174E" w:rsidRPr="00F40195" w:rsidTr="00667CC1">
        <w:trPr>
          <w:jc w:val="center"/>
        </w:trPr>
        <w:tc>
          <w:tcPr>
            <w:tcW w:w="2249" w:type="dxa"/>
            <w:vAlign w:val="center"/>
          </w:tcPr>
          <w:p w:rsidR="0005174E" w:rsidRPr="00F40195" w:rsidRDefault="0005174E" w:rsidP="00F40195">
            <w:pPr>
              <w:jc w:val="center"/>
            </w:pPr>
            <w:r w:rsidRPr="00F40195">
              <w:t>New Jersey</w:t>
            </w:r>
          </w:p>
        </w:tc>
        <w:tc>
          <w:tcPr>
            <w:tcW w:w="2223" w:type="dxa"/>
            <w:vAlign w:val="center"/>
          </w:tcPr>
          <w:p w:rsidR="0005174E" w:rsidRPr="00F40195" w:rsidRDefault="0005174E" w:rsidP="00F40195">
            <w:pPr>
              <w:jc w:val="center"/>
            </w:pPr>
            <w:r w:rsidRPr="00F40195">
              <w:t>$66,692</w:t>
            </w:r>
          </w:p>
        </w:tc>
      </w:tr>
      <w:tr w:rsidR="0005174E" w:rsidRPr="00F40195" w:rsidTr="00667CC1">
        <w:trPr>
          <w:jc w:val="center"/>
        </w:trPr>
        <w:tc>
          <w:tcPr>
            <w:tcW w:w="2249" w:type="dxa"/>
            <w:vAlign w:val="center"/>
          </w:tcPr>
          <w:p w:rsidR="0005174E" w:rsidRPr="00F40195" w:rsidRDefault="0005174E" w:rsidP="00F40195">
            <w:pPr>
              <w:jc w:val="center"/>
            </w:pPr>
            <w:r w:rsidRPr="00F40195">
              <w:t>Vermont</w:t>
            </w:r>
          </w:p>
        </w:tc>
        <w:tc>
          <w:tcPr>
            <w:tcW w:w="2223" w:type="dxa"/>
            <w:vAlign w:val="center"/>
          </w:tcPr>
          <w:p w:rsidR="0005174E" w:rsidRPr="00F40195" w:rsidRDefault="0005174E" w:rsidP="00F40195">
            <w:pPr>
              <w:jc w:val="center"/>
            </w:pPr>
            <w:r w:rsidRPr="00F40195">
              <w:t>$55,582</w:t>
            </w:r>
          </w:p>
        </w:tc>
      </w:tr>
    </w:tbl>
    <w:p w:rsidR="0005174E" w:rsidRPr="00F40195" w:rsidRDefault="0005174E" w:rsidP="003B0CF5">
      <w:pPr>
        <w:spacing w:line="240" w:lineRule="auto"/>
        <w:ind w:left="2160" w:firstLine="720"/>
        <w:rPr>
          <w:rFonts w:cs="Times New Roman"/>
          <w:sz w:val="20"/>
          <w:szCs w:val="20"/>
        </w:rPr>
      </w:pPr>
      <w:r w:rsidRPr="00F40195">
        <w:rPr>
          <w:rFonts w:cs="Times New Roman"/>
          <w:sz w:val="20"/>
          <w:szCs w:val="20"/>
        </w:rPr>
        <w:t>Source: U.S. Census</w:t>
      </w:r>
    </w:p>
    <w:p w:rsidR="003B0CF5" w:rsidRDefault="003B0CF5" w:rsidP="008D674A">
      <w:pPr>
        <w:pStyle w:val="Heading3"/>
      </w:pPr>
    </w:p>
    <w:p w:rsidR="0005174E" w:rsidRPr="00F40195" w:rsidRDefault="0005174E" w:rsidP="008D674A">
      <w:pPr>
        <w:pStyle w:val="Heading3"/>
      </w:pPr>
      <w:bookmarkStart w:id="139" w:name="_Toc395180724"/>
      <w:r w:rsidRPr="00F40195">
        <w:t>Relative Effort</w:t>
      </w:r>
      <w:bookmarkEnd w:id="139"/>
    </w:p>
    <w:p w:rsidR="0005174E" w:rsidRPr="00F40195" w:rsidRDefault="0005174E" w:rsidP="00F40195">
      <w:pPr>
        <w:spacing w:line="240" w:lineRule="auto"/>
        <w:rPr>
          <w:rFonts w:cs="Times New Roman"/>
          <w:b/>
        </w:rPr>
      </w:pPr>
      <w:r w:rsidRPr="00F40195">
        <w:rPr>
          <w:rFonts w:cs="Times New Roman"/>
        </w:rPr>
        <w:t xml:space="preserve">One approach for estimating the level of a state’s effort to fund education is to analyze its K-12 education expenditures per $1,000 of personal income. State and local spending for K-12 education in Kentucky during the 2009-10 school </w:t>
      </w:r>
      <w:proofErr w:type="gramStart"/>
      <w:r w:rsidRPr="00F40195">
        <w:rPr>
          <w:rFonts w:cs="Times New Roman"/>
        </w:rPr>
        <w:t>year</w:t>
      </w:r>
      <w:proofErr w:type="gramEnd"/>
      <w:r w:rsidRPr="00F40195">
        <w:rPr>
          <w:rFonts w:cs="Times New Roman"/>
        </w:rPr>
        <w:t xml:space="preserve"> (the most recent year for which data are </w:t>
      </w:r>
      <w:r w:rsidRPr="00F40195">
        <w:rPr>
          <w:rFonts w:cs="Times New Roman"/>
        </w:rPr>
        <w:lastRenderedPageBreak/>
        <w:t>available) was $42 per $1,000 of personal income. Kentucky’s spending was $1 higher per $1,000 of income than Minnesota but trailed the other five high achieving states by between $2 in Massachusetts and $19 in Vermont.</w:t>
      </w:r>
    </w:p>
    <w:p w:rsidR="0005174E" w:rsidRPr="00F40195" w:rsidRDefault="0005174E" w:rsidP="00F40195">
      <w:pPr>
        <w:spacing w:line="240" w:lineRule="auto"/>
        <w:rPr>
          <w:rFonts w:cs="Times New Roman"/>
          <w:b/>
        </w:rPr>
      </w:pPr>
    </w:p>
    <w:p w:rsidR="003B0CF5" w:rsidRDefault="003B0CF5" w:rsidP="00F40195">
      <w:pPr>
        <w:spacing w:line="240" w:lineRule="auto"/>
        <w:jc w:val="center"/>
        <w:rPr>
          <w:rFonts w:cs="Times New Roman"/>
          <w:b/>
        </w:rPr>
      </w:pPr>
      <w:r>
        <w:rPr>
          <w:rFonts w:cs="Times New Roman"/>
          <w:b/>
        </w:rPr>
        <w:t>Table 1.J</w:t>
      </w:r>
    </w:p>
    <w:p w:rsidR="0005174E" w:rsidRDefault="0005174E" w:rsidP="00F40195">
      <w:pPr>
        <w:spacing w:line="240" w:lineRule="auto"/>
        <w:jc w:val="center"/>
        <w:rPr>
          <w:rFonts w:cs="Times New Roman"/>
          <w:b/>
        </w:rPr>
      </w:pPr>
      <w:r w:rsidRPr="00F40195">
        <w:rPr>
          <w:rFonts w:cs="Times New Roman"/>
          <w:b/>
        </w:rPr>
        <w:t xml:space="preserve">State &amp; Local Education Expenditures </w:t>
      </w:r>
      <w:proofErr w:type="gramStart"/>
      <w:r w:rsidRPr="00F40195">
        <w:rPr>
          <w:rFonts w:cs="Times New Roman"/>
          <w:b/>
        </w:rPr>
        <w:t>Per</w:t>
      </w:r>
      <w:proofErr w:type="gramEnd"/>
      <w:r w:rsidRPr="00F40195">
        <w:rPr>
          <w:rFonts w:cs="Times New Roman"/>
          <w:b/>
        </w:rPr>
        <w:t xml:space="preserve"> $1,000 of Income</w:t>
      </w:r>
    </w:p>
    <w:p w:rsidR="003B0CF5" w:rsidRPr="00F40195" w:rsidRDefault="003B0CF5" w:rsidP="00F40195">
      <w:pPr>
        <w:spacing w:line="240" w:lineRule="auto"/>
        <w:jc w:val="center"/>
        <w:rPr>
          <w:rFonts w:cs="Times New Roman"/>
          <w:b/>
        </w:rPr>
      </w:pPr>
    </w:p>
    <w:tbl>
      <w:tblPr>
        <w:tblStyle w:val="TableGrid"/>
        <w:tblW w:w="0" w:type="auto"/>
        <w:jc w:val="center"/>
        <w:tblLook w:val="04A0" w:firstRow="1" w:lastRow="0" w:firstColumn="1" w:lastColumn="0" w:noHBand="0" w:noVBand="1"/>
      </w:tblPr>
      <w:tblGrid>
        <w:gridCol w:w="2249"/>
        <w:gridCol w:w="2223"/>
      </w:tblGrid>
      <w:tr w:rsidR="0005174E" w:rsidRPr="00F40195" w:rsidTr="00667CC1">
        <w:trPr>
          <w:jc w:val="center"/>
        </w:trPr>
        <w:tc>
          <w:tcPr>
            <w:tcW w:w="2249" w:type="dxa"/>
            <w:tcBorders>
              <w:bottom w:val="thinThickSmallGap" w:sz="24" w:space="0" w:color="auto"/>
            </w:tcBorders>
            <w:vAlign w:val="center"/>
          </w:tcPr>
          <w:p w:rsidR="0005174E" w:rsidRPr="00F40195" w:rsidRDefault="0005174E" w:rsidP="00F40195">
            <w:pPr>
              <w:jc w:val="center"/>
            </w:pPr>
            <w:r w:rsidRPr="00F40195">
              <w:t>State</w:t>
            </w:r>
          </w:p>
        </w:tc>
        <w:tc>
          <w:tcPr>
            <w:tcW w:w="2223" w:type="dxa"/>
            <w:tcBorders>
              <w:bottom w:val="thinThickSmallGap" w:sz="24" w:space="0" w:color="auto"/>
            </w:tcBorders>
            <w:vAlign w:val="center"/>
          </w:tcPr>
          <w:p w:rsidR="0005174E" w:rsidRPr="00F40195" w:rsidRDefault="0005174E" w:rsidP="00F40195">
            <w:pPr>
              <w:jc w:val="center"/>
            </w:pPr>
            <w:r w:rsidRPr="00F40195">
              <w:t>2009-10</w:t>
            </w:r>
          </w:p>
        </w:tc>
      </w:tr>
      <w:tr w:rsidR="0005174E" w:rsidRPr="00F40195" w:rsidTr="00667CC1">
        <w:trPr>
          <w:jc w:val="center"/>
        </w:trPr>
        <w:tc>
          <w:tcPr>
            <w:tcW w:w="22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222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$42</w:t>
            </w:r>
          </w:p>
        </w:tc>
      </w:tr>
      <w:tr w:rsidR="0005174E" w:rsidRPr="00F40195" w:rsidTr="00667CC1">
        <w:trPr>
          <w:jc w:val="center"/>
        </w:trPr>
        <w:tc>
          <w:tcPr>
            <w:tcW w:w="2249" w:type="dxa"/>
            <w:tcBorders>
              <w:top w:val="thinThickSmallGap" w:sz="24" w:space="0" w:color="auto"/>
            </w:tcBorders>
            <w:vAlign w:val="center"/>
          </w:tcPr>
          <w:p w:rsidR="0005174E" w:rsidRPr="00F40195" w:rsidRDefault="0005174E" w:rsidP="00F40195">
            <w:pPr>
              <w:jc w:val="center"/>
            </w:pPr>
            <w:r w:rsidRPr="00F40195">
              <w:t>Vermont</w:t>
            </w:r>
          </w:p>
        </w:tc>
        <w:tc>
          <w:tcPr>
            <w:tcW w:w="2223" w:type="dxa"/>
            <w:tcBorders>
              <w:top w:val="thinThickSmallGap" w:sz="24" w:space="0" w:color="auto"/>
            </w:tcBorders>
            <w:vAlign w:val="center"/>
          </w:tcPr>
          <w:p w:rsidR="0005174E" w:rsidRPr="00F40195" w:rsidRDefault="0005174E" w:rsidP="00F40195">
            <w:pPr>
              <w:jc w:val="center"/>
            </w:pPr>
            <w:r w:rsidRPr="00F40195">
              <w:t>$61</w:t>
            </w:r>
          </w:p>
        </w:tc>
      </w:tr>
      <w:tr w:rsidR="0005174E" w:rsidRPr="00F40195" w:rsidTr="00667CC1">
        <w:trPr>
          <w:jc w:val="center"/>
        </w:trPr>
        <w:tc>
          <w:tcPr>
            <w:tcW w:w="2249" w:type="dxa"/>
            <w:vAlign w:val="center"/>
          </w:tcPr>
          <w:p w:rsidR="0005174E" w:rsidRPr="00F40195" w:rsidRDefault="0005174E" w:rsidP="00F40195">
            <w:pPr>
              <w:jc w:val="center"/>
            </w:pPr>
            <w:r w:rsidRPr="00F40195">
              <w:t>New Jersey</w:t>
            </w:r>
          </w:p>
        </w:tc>
        <w:tc>
          <w:tcPr>
            <w:tcW w:w="2223" w:type="dxa"/>
            <w:vAlign w:val="center"/>
          </w:tcPr>
          <w:p w:rsidR="0005174E" w:rsidRPr="00F40195" w:rsidRDefault="0005174E" w:rsidP="00F40195">
            <w:pPr>
              <w:jc w:val="center"/>
            </w:pPr>
            <w:r w:rsidRPr="00F40195">
              <w:t>$52</w:t>
            </w:r>
          </w:p>
        </w:tc>
      </w:tr>
      <w:tr w:rsidR="0005174E" w:rsidRPr="00F40195" w:rsidTr="00667CC1">
        <w:trPr>
          <w:jc w:val="center"/>
        </w:trPr>
        <w:tc>
          <w:tcPr>
            <w:tcW w:w="2249" w:type="dxa"/>
            <w:vAlign w:val="center"/>
          </w:tcPr>
          <w:p w:rsidR="0005174E" w:rsidRPr="00F40195" w:rsidRDefault="0005174E" w:rsidP="00F40195">
            <w:pPr>
              <w:jc w:val="center"/>
            </w:pPr>
            <w:r w:rsidRPr="00F40195">
              <w:t>New Hampshire</w:t>
            </w:r>
          </w:p>
        </w:tc>
        <w:tc>
          <w:tcPr>
            <w:tcW w:w="2223" w:type="dxa"/>
            <w:vAlign w:val="center"/>
          </w:tcPr>
          <w:p w:rsidR="0005174E" w:rsidRPr="00F40195" w:rsidRDefault="0005174E" w:rsidP="00F40195">
            <w:pPr>
              <w:jc w:val="center"/>
              <w:rPr>
                <w:color w:val="FF0000"/>
              </w:rPr>
            </w:pPr>
            <w:r w:rsidRPr="00F40195">
              <w:t>$45</w:t>
            </w:r>
          </w:p>
        </w:tc>
      </w:tr>
      <w:tr w:rsidR="0005174E" w:rsidRPr="00F40195" w:rsidTr="00667CC1">
        <w:trPr>
          <w:jc w:val="center"/>
        </w:trPr>
        <w:tc>
          <w:tcPr>
            <w:tcW w:w="2249" w:type="dxa"/>
            <w:vAlign w:val="center"/>
          </w:tcPr>
          <w:p w:rsidR="0005174E" w:rsidRPr="00F40195" w:rsidRDefault="0005174E" w:rsidP="00F40195">
            <w:pPr>
              <w:jc w:val="center"/>
            </w:pPr>
            <w:r w:rsidRPr="00F40195">
              <w:t>Kansas</w:t>
            </w:r>
          </w:p>
        </w:tc>
        <w:tc>
          <w:tcPr>
            <w:tcW w:w="2223" w:type="dxa"/>
            <w:vAlign w:val="center"/>
          </w:tcPr>
          <w:p w:rsidR="0005174E" w:rsidRPr="00F40195" w:rsidRDefault="0005174E" w:rsidP="00F40195">
            <w:pPr>
              <w:jc w:val="center"/>
            </w:pPr>
            <w:r w:rsidRPr="00F40195">
              <w:t>$43</w:t>
            </w:r>
          </w:p>
        </w:tc>
      </w:tr>
      <w:tr w:rsidR="0005174E" w:rsidRPr="00F40195" w:rsidTr="00667CC1">
        <w:trPr>
          <w:jc w:val="center"/>
        </w:trPr>
        <w:tc>
          <w:tcPr>
            <w:tcW w:w="2249" w:type="dxa"/>
            <w:vAlign w:val="center"/>
          </w:tcPr>
          <w:p w:rsidR="0005174E" w:rsidRPr="00F40195" w:rsidRDefault="0005174E" w:rsidP="00F40195">
            <w:pPr>
              <w:jc w:val="center"/>
            </w:pPr>
            <w:r w:rsidRPr="00F40195">
              <w:t>Massachusetts</w:t>
            </w:r>
          </w:p>
        </w:tc>
        <w:tc>
          <w:tcPr>
            <w:tcW w:w="2223" w:type="dxa"/>
            <w:vAlign w:val="center"/>
          </w:tcPr>
          <w:p w:rsidR="0005174E" w:rsidRPr="00F40195" w:rsidRDefault="0005174E" w:rsidP="00F40195">
            <w:pPr>
              <w:jc w:val="center"/>
            </w:pPr>
            <w:r w:rsidRPr="00F40195">
              <w:t>$43</w:t>
            </w:r>
          </w:p>
        </w:tc>
      </w:tr>
      <w:tr w:rsidR="0005174E" w:rsidRPr="00F40195" w:rsidTr="00667CC1">
        <w:trPr>
          <w:jc w:val="center"/>
        </w:trPr>
        <w:tc>
          <w:tcPr>
            <w:tcW w:w="2249" w:type="dxa"/>
            <w:vAlign w:val="center"/>
          </w:tcPr>
          <w:p w:rsidR="0005174E" w:rsidRPr="00F40195" w:rsidRDefault="0005174E" w:rsidP="00F40195">
            <w:pPr>
              <w:jc w:val="center"/>
            </w:pPr>
            <w:r w:rsidRPr="00F40195">
              <w:t>Minnesota</w:t>
            </w:r>
          </w:p>
        </w:tc>
        <w:tc>
          <w:tcPr>
            <w:tcW w:w="2223" w:type="dxa"/>
            <w:vAlign w:val="center"/>
          </w:tcPr>
          <w:p w:rsidR="0005174E" w:rsidRPr="00F40195" w:rsidRDefault="0005174E" w:rsidP="00F40195">
            <w:pPr>
              <w:jc w:val="center"/>
            </w:pPr>
            <w:r w:rsidRPr="00F40195">
              <w:rPr>
                <w:color w:val="FF0000"/>
              </w:rPr>
              <w:t>$41</w:t>
            </w:r>
          </w:p>
        </w:tc>
      </w:tr>
    </w:tbl>
    <w:p w:rsidR="0005174E" w:rsidRPr="00F40195" w:rsidRDefault="0005174E" w:rsidP="003B0CF5">
      <w:pPr>
        <w:spacing w:line="240" w:lineRule="auto"/>
        <w:ind w:left="1440" w:firstLine="720"/>
        <w:jc w:val="center"/>
        <w:rPr>
          <w:rFonts w:cs="Times New Roman"/>
          <w:sz w:val="20"/>
          <w:szCs w:val="20"/>
        </w:rPr>
      </w:pPr>
      <w:r w:rsidRPr="00F40195">
        <w:rPr>
          <w:rFonts w:cs="Times New Roman"/>
          <w:sz w:val="20"/>
          <w:szCs w:val="20"/>
        </w:rPr>
        <w:t xml:space="preserve">Source: National Education Association’s </w:t>
      </w:r>
      <w:r w:rsidRPr="00F40195">
        <w:rPr>
          <w:rFonts w:cs="Times New Roman"/>
          <w:i/>
          <w:sz w:val="20"/>
          <w:szCs w:val="20"/>
        </w:rPr>
        <w:t>Rankings &amp; Estimates</w:t>
      </w:r>
      <w:r w:rsidRPr="00F40195">
        <w:rPr>
          <w:rFonts w:cs="Times New Roman"/>
          <w:sz w:val="20"/>
          <w:szCs w:val="20"/>
        </w:rPr>
        <w:t xml:space="preserve"> publication.</w:t>
      </w:r>
    </w:p>
    <w:p w:rsidR="003B0CF5" w:rsidRDefault="003B0CF5" w:rsidP="008D674A">
      <w:pPr>
        <w:pStyle w:val="Heading3"/>
      </w:pPr>
    </w:p>
    <w:p w:rsidR="0005174E" w:rsidRPr="00F40195" w:rsidRDefault="0005174E" w:rsidP="008D674A">
      <w:pPr>
        <w:pStyle w:val="Heading3"/>
      </w:pPr>
      <w:bookmarkStart w:id="140" w:name="_Toc395180725"/>
      <w:r w:rsidRPr="00F40195">
        <w:t>Enrollment Information</w:t>
      </w:r>
      <w:bookmarkEnd w:id="140"/>
    </w:p>
    <w:p w:rsidR="0005174E" w:rsidRPr="00F40195" w:rsidRDefault="0005174E" w:rsidP="00F40195">
      <w:pPr>
        <w:spacing w:line="240" w:lineRule="auto"/>
        <w:rPr>
          <w:rFonts w:cs="Times New Roman"/>
        </w:rPr>
      </w:pPr>
      <w:r w:rsidRPr="00F40195">
        <w:rPr>
          <w:rFonts w:cs="Times New Roman"/>
        </w:rPr>
        <w:t xml:space="preserve">Student enrollment in the six high performing states ranges from 85,635 in Vermont to 1,366,067 in New Jersey. Kentucky’s student population is 658,328 - this places it right in between the enrollments of the six high performing states. The average student enrollment for these six </w:t>
      </w:r>
      <w:r w:rsidR="00F72B94">
        <w:rPr>
          <w:rFonts w:cs="Times New Roman"/>
        </w:rPr>
        <w:t>states is 648,219, which is 1.5 percent</w:t>
      </w:r>
      <w:r w:rsidRPr="00F40195">
        <w:rPr>
          <w:rFonts w:cs="Times New Roman"/>
        </w:rPr>
        <w:t xml:space="preserve"> smaller than Kentucky’s enrol</w:t>
      </w:r>
      <w:r w:rsidR="00F72B94">
        <w:rPr>
          <w:rFonts w:cs="Times New Roman"/>
        </w:rPr>
        <w:t>lment number. In Kentucky, 56.6 percent</w:t>
      </w:r>
      <w:r w:rsidRPr="00F40195">
        <w:rPr>
          <w:rFonts w:cs="Times New Roman"/>
        </w:rPr>
        <w:t xml:space="preserve"> of students qualify for free and reduced </w:t>
      </w:r>
      <w:proofErr w:type="gramStart"/>
      <w:r w:rsidRPr="00F40195">
        <w:rPr>
          <w:rFonts w:cs="Times New Roman"/>
        </w:rPr>
        <w:t>Price lunches – which is</w:t>
      </w:r>
      <w:proofErr w:type="gramEnd"/>
      <w:r w:rsidRPr="00F40195">
        <w:rPr>
          <w:rFonts w:cs="Times New Roman"/>
        </w:rPr>
        <w:t xml:space="preserve"> higher than all six of the high achieving states. Kentucky’s F/R </w:t>
      </w:r>
      <w:r w:rsidR="00F72B94">
        <w:rPr>
          <w:rFonts w:cs="Times New Roman"/>
        </w:rPr>
        <w:t>priced lunch</w:t>
      </w:r>
      <w:r w:rsidRPr="00F40195">
        <w:rPr>
          <w:rFonts w:cs="Times New Roman"/>
        </w:rPr>
        <w:t xml:space="preserve"> p</w:t>
      </w:r>
      <w:r w:rsidR="00F72B94">
        <w:rPr>
          <w:rFonts w:cs="Times New Roman"/>
        </w:rPr>
        <w:t>opulation ranges from being 8.9 percent (Kansas) to 31.4 percent</w:t>
      </w:r>
      <w:r w:rsidRPr="00F40195">
        <w:rPr>
          <w:rFonts w:cs="Times New Roman"/>
        </w:rPr>
        <w:t xml:space="preserve"> (New Hampshire) higher than the high achieving states. Ke</w:t>
      </w:r>
      <w:r w:rsidR="00F72B94">
        <w:rPr>
          <w:rFonts w:cs="Times New Roman"/>
        </w:rPr>
        <w:t>ntucky’s ELL population, at 2.4 percent</w:t>
      </w:r>
      <w:r w:rsidRPr="00F40195">
        <w:rPr>
          <w:rFonts w:cs="Times New Roman"/>
        </w:rPr>
        <w:t>, is higher than New Hampshire and Vermont but is smaller than the ELL populations of Kansas, Massachusetts, Minnesota and New Jersey. In fact, Kentucky’s ELL population is less than 1/3 as large as Kansas’s.</w:t>
      </w:r>
    </w:p>
    <w:p w:rsidR="003D442F" w:rsidRDefault="003D442F">
      <w:pPr>
        <w:rPr>
          <w:rFonts w:cs="Times New Roman"/>
        </w:rPr>
      </w:pPr>
      <w:r>
        <w:rPr>
          <w:rFonts w:cs="Times New Roman"/>
        </w:rPr>
        <w:br w:type="page"/>
      </w:r>
    </w:p>
    <w:p w:rsidR="0005174E" w:rsidRPr="00F40195" w:rsidRDefault="0005174E" w:rsidP="00F40195">
      <w:pPr>
        <w:spacing w:line="240" w:lineRule="auto"/>
        <w:rPr>
          <w:rFonts w:cs="Times New Roman"/>
        </w:rPr>
      </w:pPr>
    </w:p>
    <w:p w:rsidR="003B0CF5" w:rsidRDefault="003B0CF5" w:rsidP="003B0CF5">
      <w:pPr>
        <w:spacing w:line="240" w:lineRule="auto"/>
        <w:jc w:val="center"/>
        <w:rPr>
          <w:rFonts w:cs="Times New Roman"/>
          <w:b/>
        </w:rPr>
      </w:pPr>
      <w:r>
        <w:rPr>
          <w:rFonts w:cs="Times New Roman"/>
          <w:b/>
        </w:rPr>
        <w:t>Table 1.K</w:t>
      </w:r>
    </w:p>
    <w:p w:rsidR="0005174E" w:rsidRDefault="0005174E" w:rsidP="003B0CF5">
      <w:pPr>
        <w:spacing w:line="240" w:lineRule="auto"/>
        <w:jc w:val="center"/>
        <w:rPr>
          <w:rFonts w:cs="Times New Roman"/>
          <w:b/>
        </w:rPr>
      </w:pPr>
      <w:r w:rsidRPr="00F40195">
        <w:rPr>
          <w:rFonts w:cs="Times New Roman"/>
          <w:b/>
        </w:rPr>
        <w:t>Student Information by State</w:t>
      </w:r>
    </w:p>
    <w:p w:rsidR="003B0CF5" w:rsidRPr="00F40195" w:rsidRDefault="003B0CF5" w:rsidP="00F40195">
      <w:pPr>
        <w:spacing w:line="240" w:lineRule="auto"/>
        <w:rPr>
          <w:rFonts w:cs="Times New Roman"/>
          <w:b/>
        </w:rPr>
      </w:pPr>
    </w:p>
    <w:tbl>
      <w:tblPr>
        <w:tblStyle w:val="TableGrid"/>
        <w:tblW w:w="0" w:type="auto"/>
        <w:tblLook w:val="04A0" w:firstRow="1" w:lastRow="0" w:firstColumn="1" w:lastColumn="0" w:noHBand="0" w:noVBand="1"/>
      </w:tblPr>
      <w:tblGrid>
        <w:gridCol w:w="2249"/>
        <w:gridCol w:w="2223"/>
        <w:gridCol w:w="2192"/>
        <w:gridCol w:w="2192"/>
      </w:tblGrid>
      <w:tr w:rsidR="0005174E" w:rsidRPr="00F40195" w:rsidTr="00667CC1">
        <w:tc>
          <w:tcPr>
            <w:tcW w:w="2249" w:type="dxa"/>
            <w:tcBorders>
              <w:bottom w:val="thinThickSmallGap" w:sz="24" w:space="0" w:color="auto"/>
            </w:tcBorders>
            <w:vAlign w:val="center"/>
          </w:tcPr>
          <w:p w:rsidR="0005174E" w:rsidRPr="00F40195" w:rsidRDefault="0005174E" w:rsidP="00F40195">
            <w:pPr>
              <w:jc w:val="center"/>
            </w:pPr>
            <w:r w:rsidRPr="00F40195">
              <w:t>State</w:t>
            </w:r>
          </w:p>
        </w:tc>
        <w:tc>
          <w:tcPr>
            <w:tcW w:w="2223" w:type="dxa"/>
            <w:tcBorders>
              <w:bottom w:val="thinThickSmallGap" w:sz="24" w:space="0" w:color="auto"/>
            </w:tcBorders>
            <w:vAlign w:val="center"/>
          </w:tcPr>
          <w:p w:rsidR="0005174E" w:rsidRPr="00F40195" w:rsidRDefault="0005174E" w:rsidP="00F40195">
            <w:pPr>
              <w:jc w:val="center"/>
            </w:pPr>
            <w:r w:rsidRPr="00F40195">
              <w:t>Student Enrollment</w:t>
            </w:r>
          </w:p>
          <w:p w:rsidR="0005174E" w:rsidRPr="00F40195" w:rsidRDefault="0005174E" w:rsidP="00F40195">
            <w:pPr>
              <w:jc w:val="center"/>
            </w:pPr>
            <w:r w:rsidRPr="00F40195">
              <w:t>(2010-11)</w:t>
            </w:r>
          </w:p>
        </w:tc>
        <w:tc>
          <w:tcPr>
            <w:tcW w:w="2192" w:type="dxa"/>
            <w:tcBorders>
              <w:bottom w:val="thinThickSmallGap" w:sz="24" w:space="0" w:color="auto"/>
            </w:tcBorders>
          </w:tcPr>
          <w:p w:rsidR="0005174E" w:rsidRPr="00F40195" w:rsidRDefault="0005174E" w:rsidP="00F40195">
            <w:pPr>
              <w:jc w:val="center"/>
            </w:pPr>
            <w:r w:rsidRPr="00F40195">
              <w:t>Free/Reduced Lunch Population</w:t>
            </w:r>
          </w:p>
          <w:p w:rsidR="0005174E" w:rsidRPr="00F40195" w:rsidRDefault="0005174E" w:rsidP="00F40195">
            <w:pPr>
              <w:jc w:val="center"/>
            </w:pPr>
            <w:r w:rsidRPr="00F40195">
              <w:t>(2010-11)</w:t>
            </w:r>
          </w:p>
        </w:tc>
        <w:tc>
          <w:tcPr>
            <w:tcW w:w="2192" w:type="dxa"/>
            <w:tcBorders>
              <w:bottom w:val="thinThickSmallGap" w:sz="24" w:space="0" w:color="auto"/>
            </w:tcBorders>
          </w:tcPr>
          <w:p w:rsidR="0005174E" w:rsidRPr="00F40195" w:rsidRDefault="0005174E" w:rsidP="00F40195">
            <w:pPr>
              <w:jc w:val="center"/>
            </w:pPr>
            <w:r w:rsidRPr="00F40195">
              <w:t>English Language Learners</w:t>
            </w:r>
          </w:p>
          <w:p w:rsidR="0005174E" w:rsidRPr="00F40195" w:rsidRDefault="0005174E" w:rsidP="00F40195">
            <w:pPr>
              <w:jc w:val="center"/>
            </w:pPr>
            <w:r w:rsidRPr="00F40195">
              <w:t>(2010-11)</w:t>
            </w:r>
          </w:p>
        </w:tc>
      </w:tr>
      <w:tr w:rsidR="0005174E" w:rsidRPr="00F40195" w:rsidTr="00667CC1">
        <w:tc>
          <w:tcPr>
            <w:tcW w:w="22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Kentucky</w:t>
            </w:r>
          </w:p>
        </w:tc>
        <w:tc>
          <w:tcPr>
            <w:tcW w:w="222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5174E" w:rsidRPr="00F40195" w:rsidRDefault="0005174E" w:rsidP="00F40195">
            <w:pPr>
              <w:jc w:val="center"/>
            </w:pPr>
            <w:r w:rsidRPr="00F40195">
              <w:t>658,328</w:t>
            </w:r>
          </w:p>
        </w:tc>
        <w:tc>
          <w:tcPr>
            <w:tcW w:w="2192"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56.6%</w:t>
            </w:r>
          </w:p>
        </w:tc>
        <w:tc>
          <w:tcPr>
            <w:tcW w:w="2192" w:type="dxa"/>
            <w:tcBorders>
              <w:top w:val="thinThickSmallGap" w:sz="24" w:space="0" w:color="auto"/>
              <w:left w:val="thinThickSmallGap" w:sz="24" w:space="0" w:color="auto"/>
              <w:bottom w:val="thinThickSmallGap" w:sz="24" w:space="0" w:color="auto"/>
              <w:right w:val="thinThickSmallGap" w:sz="24" w:space="0" w:color="auto"/>
            </w:tcBorders>
          </w:tcPr>
          <w:p w:rsidR="0005174E" w:rsidRPr="00F40195" w:rsidRDefault="0005174E" w:rsidP="00F40195">
            <w:pPr>
              <w:jc w:val="center"/>
            </w:pPr>
            <w:r w:rsidRPr="00F40195">
              <w:t>2.4%</w:t>
            </w:r>
          </w:p>
        </w:tc>
      </w:tr>
      <w:tr w:rsidR="0005174E" w:rsidRPr="00F40195" w:rsidTr="00667CC1">
        <w:tc>
          <w:tcPr>
            <w:tcW w:w="2249" w:type="dxa"/>
            <w:tcBorders>
              <w:top w:val="thinThickSmallGap" w:sz="24" w:space="0" w:color="auto"/>
            </w:tcBorders>
            <w:vAlign w:val="center"/>
          </w:tcPr>
          <w:p w:rsidR="0005174E" w:rsidRPr="00F40195" w:rsidRDefault="0005174E" w:rsidP="00F40195">
            <w:pPr>
              <w:jc w:val="center"/>
            </w:pPr>
            <w:r w:rsidRPr="00F40195">
              <w:t>Kansas</w:t>
            </w:r>
          </w:p>
        </w:tc>
        <w:tc>
          <w:tcPr>
            <w:tcW w:w="2223" w:type="dxa"/>
            <w:tcBorders>
              <w:top w:val="thinThickSmallGap" w:sz="24" w:space="0" w:color="auto"/>
            </w:tcBorders>
            <w:vAlign w:val="center"/>
          </w:tcPr>
          <w:p w:rsidR="0005174E" w:rsidRPr="00F40195" w:rsidRDefault="0005174E" w:rsidP="00F40195">
            <w:pPr>
              <w:jc w:val="center"/>
            </w:pPr>
            <w:r w:rsidRPr="00F40195">
              <w:t>481,000</w:t>
            </w:r>
          </w:p>
        </w:tc>
        <w:tc>
          <w:tcPr>
            <w:tcW w:w="2192" w:type="dxa"/>
            <w:tcBorders>
              <w:top w:val="thinThickSmallGap" w:sz="24" w:space="0" w:color="auto"/>
            </w:tcBorders>
          </w:tcPr>
          <w:p w:rsidR="0005174E" w:rsidRPr="00F40195" w:rsidRDefault="0005174E" w:rsidP="00F40195">
            <w:pPr>
              <w:jc w:val="center"/>
            </w:pPr>
            <w:r w:rsidRPr="00F40195">
              <w:t>47.7%</w:t>
            </w:r>
          </w:p>
        </w:tc>
        <w:tc>
          <w:tcPr>
            <w:tcW w:w="2192" w:type="dxa"/>
            <w:tcBorders>
              <w:top w:val="thinThickSmallGap" w:sz="24" w:space="0" w:color="auto"/>
            </w:tcBorders>
          </w:tcPr>
          <w:p w:rsidR="0005174E" w:rsidRPr="00F40195" w:rsidRDefault="0005174E" w:rsidP="00F40195">
            <w:pPr>
              <w:jc w:val="center"/>
            </w:pPr>
            <w:r w:rsidRPr="00F40195">
              <w:t>8.1%</w:t>
            </w:r>
          </w:p>
        </w:tc>
      </w:tr>
      <w:tr w:rsidR="0005174E" w:rsidRPr="00F40195" w:rsidTr="00667CC1">
        <w:tc>
          <w:tcPr>
            <w:tcW w:w="2249" w:type="dxa"/>
            <w:vAlign w:val="center"/>
          </w:tcPr>
          <w:p w:rsidR="0005174E" w:rsidRPr="00F40195" w:rsidRDefault="0005174E" w:rsidP="00F40195">
            <w:pPr>
              <w:jc w:val="center"/>
            </w:pPr>
            <w:r w:rsidRPr="00F40195">
              <w:t>Massachusetts</w:t>
            </w:r>
          </w:p>
        </w:tc>
        <w:tc>
          <w:tcPr>
            <w:tcW w:w="2223" w:type="dxa"/>
            <w:vAlign w:val="center"/>
          </w:tcPr>
          <w:p w:rsidR="0005174E" w:rsidRPr="00F40195" w:rsidRDefault="0005174E" w:rsidP="00F40195">
            <w:pPr>
              <w:jc w:val="center"/>
            </w:pPr>
            <w:r w:rsidRPr="00F40195">
              <w:t>953,223</w:t>
            </w:r>
          </w:p>
        </w:tc>
        <w:tc>
          <w:tcPr>
            <w:tcW w:w="2192" w:type="dxa"/>
          </w:tcPr>
          <w:p w:rsidR="0005174E" w:rsidRPr="00F40195" w:rsidRDefault="0005174E" w:rsidP="00F40195">
            <w:pPr>
              <w:jc w:val="center"/>
            </w:pPr>
            <w:r w:rsidRPr="00F40195">
              <w:t>34.2%</w:t>
            </w:r>
          </w:p>
        </w:tc>
        <w:tc>
          <w:tcPr>
            <w:tcW w:w="2192" w:type="dxa"/>
          </w:tcPr>
          <w:p w:rsidR="0005174E" w:rsidRPr="00F40195" w:rsidRDefault="0005174E" w:rsidP="00F40195">
            <w:pPr>
              <w:jc w:val="center"/>
            </w:pPr>
            <w:r w:rsidRPr="00F40195">
              <w:t>6.7%</w:t>
            </w:r>
          </w:p>
        </w:tc>
      </w:tr>
      <w:tr w:rsidR="0005174E" w:rsidRPr="00F40195" w:rsidTr="00667CC1">
        <w:tc>
          <w:tcPr>
            <w:tcW w:w="2249" w:type="dxa"/>
            <w:vAlign w:val="center"/>
          </w:tcPr>
          <w:p w:rsidR="0005174E" w:rsidRPr="00F40195" w:rsidRDefault="0005174E" w:rsidP="00F40195">
            <w:pPr>
              <w:jc w:val="center"/>
            </w:pPr>
            <w:r w:rsidRPr="00F40195">
              <w:t>Minnesota</w:t>
            </w:r>
          </w:p>
        </w:tc>
        <w:tc>
          <w:tcPr>
            <w:tcW w:w="2223" w:type="dxa"/>
            <w:vAlign w:val="center"/>
          </w:tcPr>
          <w:p w:rsidR="0005174E" w:rsidRPr="00F40195" w:rsidRDefault="0005174E" w:rsidP="00F40195">
            <w:pPr>
              <w:jc w:val="center"/>
            </w:pPr>
            <w:r w:rsidRPr="00F40195">
              <w:t>810,123</w:t>
            </w:r>
          </w:p>
        </w:tc>
        <w:tc>
          <w:tcPr>
            <w:tcW w:w="2192" w:type="dxa"/>
          </w:tcPr>
          <w:p w:rsidR="0005174E" w:rsidRPr="00F40195" w:rsidRDefault="0005174E" w:rsidP="00F40195">
            <w:pPr>
              <w:jc w:val="center"/>
            </w:pPr>
            <w:r w:rsidRPr="00F40195">
              <w:t>36.5%</w:t>
            </w:r>
          </w:p>
        </w:tc>
        <w:tc>
          <w:tcPr>
            <w:tcW w:w="2192" w:type="dxa"/>
          </w:tcPr>
          <w:p w:rsidR="0005174E" w:rsidRPr="00F40195" w:rsidRDefault="0005174E" w:rsidP="00F40195">
            <w:pPr>
              <w:jc w:val="center"/>
            </w:pPr>
            <w:r w:rsidRPr="00F40195">
              <w:t>5.1%</w:t>
            </w:r>
          </w:p>
        </w:tc>
      </w:tr>
      <w:tr w:rsidR="0005174E" w:rsidRPr="00F40195" w:rsidTr="00667CC1">
        <w:tc>
          <w:tcPr>
            <w:tcW w:w="2249" w:type="dxa"/>
            <w:vAlign w:val="center"/>
          </w:tcPr>
          <w:p w:rsidR="0005174E" w:rsidRPr="00F40195" w:rsidRDefault="0005174E" w:rsidP="00F40195">
            <w:pPr>
              <w:jc w:val="center"/>
            </w:pPr>
            <w:r w:rsidRPr="00F40195">
              <w:t>New Hampshire</w:t>
            </w:r>
          </w:p>
        </w:tc>
        <w:tc>
          <w:tcPr>
            <w:tcW w:w="2223" w:type="dxa"/>
            <w:vAlign w:val="center"/>
          </w:tcPr>
          <w:p w:rsidR="0005174E" w:rsidRPr="00F40195" w:rsidRDefault="0005174E" w:rsidP="00F40195">
            <w:pPr>
              <w:jc w:val="center"/>
            </w:pPr>
            <w:r w:rsidRPr="00F40195">
              <w:t>193,264</w:t>
            </w:r>
          </w:p>
        </w:tc>
        <w:tc>
          <w:tcPr>
            <w:tcW w:w="2192" w:type="dxa"/>
          </w:tcPr>
          <w:p w:rsidR="0005174E" w:rsidRPr="00F40195" w:rsidRDefault="0005174E" w:rsidP="00F40195">
            <w:pPr>
              <w:jc w:val="center"/>
            </w:pPr>
            <w:r w:rsidRPr="00F40195">
              <w:t>25.2%</w:t>
            </w:r>
          </w:p>
        </w:tc>
        <w:tc>
          <w:tcPr>
            <w:tcW w:w="2192" w:type="dxa"/>
          </w:tcPr>
          <w:p w:rsidR="0005174E" w:rsidRPr="00F40195" w:rsidRDefault="0005174E" w:rsidP="00F40195">
            <w:pPr>
              <w:jc w:val="center"/>
            </w:pPr>
            <w:r w:rsidRPr="00F40195">
              <w:t>2.0%</w:t>
            </w:r>
          </w:p>
        </w:tc>
      </w:tr>
      <w:tr w:rsidR="0005174E" w:rsidRPr="00F40195" w:rsidTr="00667CC1">
        <w:tc>
          <w:tcPr>
            <w:tcW w:w="2249" w:type="dxa"/>
            <w:vAlign w:val="center"/>
          </w:tcPr>
          <w:p w:rsidR="0005174E" w:rsidRPr="00F40195" w:rsidRDefault="0005174E" w:rsidP="00F40195">
            <w:pPr>
              <w:jc w:val="center"/>
            </w:pPr>
            <w:r w:rsidRPr="00F40195">
              <w:t>New Jersey</w:t>
            </w:r>
          </w:p>
        </w:tc>
        <w:tc>
          <w:tcPr>
            <w:tcW w:w="2223" w:type="dxa"/>
            <w:vAlign w:val="center"/>
          </w:tcPr>
          <w:p w:rsidR="0005174E" w:rsidRPr="00F40195" w:rsidRDefault="0005174E" w:rsidP="00F40195">
            <w:pPr>
              <w:jc w:val="center"/>
            </w:pPr>
            <w:r w:rsidRPr="00F40195">
              <w:t>1,366,067</w:t>
            </w:r>
          </w:p>
        </w:tc>
        <w:tc>
          <w:tcPr>
            <w:tcW w:w="2192" w:type="dxa"/>
          </w:tcPr>
          <w:p w:rsidR="0005174E" w:rsidRPr="00F40195" w:rsidRDefault="0005174E" w:rsidP="00F40195">
            <w:pPr>
              <w:jc w:val="center"/>
            </w:pPr>
            <w:r w:rsidRPr="00F40195">
              <w:t>32.8%</w:t>
            </w:r>
          </w:p>
        </w:tc>
        <w:tc>
          <w:tcPr>
            <w:tcW w:w="2192" w:type="dxa"/>
          </w:tcPr>
          <w:p w:rsidR="0005174E" w:rsidRPr="00F40195" w:rsidRDefault="0005174E" w:rsidP="00F40195">
            <w:pPr>
              <w:jc w:val="center"/>
            </w:pPr>
            <w:r w:rsidRPr="00F40195">
              <w:t>3.8%</w:t>
            </w:r>
          </w:p>
        </w:tc>
      </w:tr>
      <w:tr w:rsidR="0005174E" w:rsidRPr="00F40195" w:rsidTr="00667CC1">
        <w:tc>
          <w:tcPr>
            <w:tcW w:w="2249" w:type="dxa"/>
            <w:vAlign w:val="center"/>
          </w:tcPr>
          <w:p w:rsidR="0005174E" w:rsidRPr="00F40195" w:rsidRDefault="0005174E" w:rsidP="00F40195">
            <w:pPr>
              <w:jc w:val="center"/>
            </w:pPr>
            <w:r w:rsidRPr="00F40195">
              <w:t>Vermont</w:t>
            </w:r>
          </w:p>
        </w:tc>
        <w:tc>
          <w:tcPr>
            <w:tcW w:w="2223" w:type="dxa"/>
            <w:vAlign w:val="center"/>
          </w:tcPr>
          <w:p w:rsidR="0005174E" w:rsidRPr="00F40195" w:rsidRDefault="0005174E" w:rsidP="00F40195">
            <w:pPr>
              <w:jc w:val="center"/>
            </w:pPr>
            <w:r w:rsidRPr="00F40195">
              <w:t>85,635</w:t>
            </w:r>
          </w:p>
        </w:tc>
        <w:tc>
          <w:tcPr>
            <w:tcW w:w="2192" w:type="dxa"/>
          </w:tcPr>
          <w:p w:rsidR="0005174E" w:rsidRPr="00F40195" w:rsidRDefault="0005174E" w:rsidP="00F40195">
            <w:pPr>
              <w:jc w:val="center"/>
            </w:pPr>
            <w:r w:rsidRPr="00F40195">
              <w:t>36.8%</w:t>
            </w:r>
          </w:p>
        </w:tc>
        <w:tc>
          <w:tcPr>
            <w:tcW w:w="2192" w:type="dxa"/>
          </w:tcPr>
          <w:p w:rsidR="0005174E" w:rsidRPr="00F40195" w:rsidRDefault="0005174E" w:rsidP="00F40195">
            <w:pPr>
              <w:jc w:val="center"/>
            </w:pPr>
            <w:r w:rsidRPr="00F40195">
              <w:t>1.9%</w:t>
            </w:r>
          </w:p>
        </w:tc>
      </w:tr>
    </w:tbl>
    <w:p w:rsidR="00D200A3" w:rsidRPr="00F40195" w:rsidRDefault="0005174E" w:rsidP="00F72B94">
      <w:pPr>
        <w:spacing w:line="240" w:lineRule="auto"/>
        <w:rPr>
          <w:rFonts w:cs="Times New Roman"/>
        </w:rPr>
      </w:pPr>
      <w:r w:rsidRPr="00F40195">
        <w:rPr>
          <w:rFonts w:cs="Times New Roman"/>
          <w:sz w:val="20"/>
          <w:szCs w:val="20"/>
        </w:rPr>
        <w:t>Source: U.S. Department of Education</w:t>
      </w:r>
    </w:p>
    <w:sectPr w:rsidR="00D200A3" w:rsidRPr="00F40195" w:rsidSect="00CC79D7">
      <w:footerReference w:type="even" r:id="rId61"/>
      <w:footerReference w:type="default" r:id="rId62"/>
      <w:footerReference w:type="first" r:id="rId63"/>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F75B96" w15:done="0"/>
  <w15:commentEx w15:paraId="7FC5F059" w15:done="0"/>
  <w15:commentEx w15:paraId="6F3A575F" w15:done="0"/>
  <w15:commentEx w15:paraId="45D6A665" w15:done="0"/>
  <w15:commentEx w15:paraId="0A6356E2" w15:done="0"/>
  <w15:commentEx w15:paraId="57D6681B" w15:done="0"/>
  <w15:commentEx w15:paraId="62E60A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BA" w:rsidRDefault="00C903BA" w:rsidP="009B4BC3">
      <w:pPr>
        <w:spacing w:line="240" w:lineRule="auto"/>
      </w:pPr>
      <w:r>
        <w:separator/>
      </w:r>
    </w:p>
  </w:endnote>
  <w:endnote w:type="continuationSeparator" w:id="0">
    <w:p w:rsidR="00C903BA" w:rsidRDefault="00C903BA" w:rsidP="009B4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dobe Garamond Pro">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rsidP="00404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id w:val="235827720"/>
      <w:docPartObj>
        <w:docPartGallery w:val="Page Numbers (Bottom of Page)"/>
        <w:docPartUnique/>
      </w:docPartObj>
    </w:sdtPr>
    <w:sdtEndPr>
      <w:rPr>
        <w:color w:val="808080" w:themeColor="background1" w:themeShade="80"/>
        <w:spacing w:val="60"/>
      </w:rPr>
    </w:sdtEndPr>
    <w:sdtContent>
      <w:p w:rsidR="00C903BA" w:rsidRDefault="00C903BA" w:rsidP="006B59F4">
        <w:pPr>
          <w:pStyle w:val="Footer"/>
          <w:pBdr>
            <w:top w:val="single" w:sz="4" w:space="1" w:color="D9D9D9" w:themeColor="background1" w:themeShade="D9"/>
          </w:pBdr>
          <w:ind w:right="360"/>
          <w:rPr>
            <w:b/>
            <w:bCs/>
          </w:rPr>
        </w:pPr>
        <w:r>
          <w:rPr>
            <w:b/>
            <w:bCs/>
          </w:rPr>
          <w:t xml:space="preserve"> | </w:t>
        </w:r>
        <w:r>
          <w:rPr>
            <w:color w:val="808080" w:themeColor="background1" w:themeShade="80"/>
            <w:spacing w:val="60"/>
          </w:rPr>
          <w:t>Page</w:t>
        </w:r>
      </w:p>
    </w:sdtContent>
  </w:sdt>
  <w:p w:rsidR="00C903BA" w:rsidRDefault="00C90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73298"/>
      <w:docPartObj>
        <w:docPartGallery w:val="Page Numbers (Bottom of Page)"/>
        <w:docPartUnique/>
      </w:docPartObj>
    </w:sdtPr>
    <w:sdtEndPr>
      <w:rPr>
        <w:noProof/>
      </w:rPr>
    </w:sdtEndPr>
    <w:sdtContent>
      <w:p w:rsidR="00C903BA" w:rsidRDefault="00C903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903BA" w:rsidRDefault="00C90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pPr>
      <w:pStyle w:val="Footer"/>
      <w:pBdr>
        <w:top w:val="single" w:sz="4" w:space="1" w:color="D9D9D9" w:themeColor="background1" w:themeShade="D9"/>
      </w:pBdr>
      <w:rPr>
        <w:b/>
        <w:bCs/>
      </w:rPr>
    </w:pPr>
  </w:p>
  <w:p w:rsidR="00C903BA" w:rsidRDefault="00C903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rsidP="00404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id w:val="-175960959"/>
      <w:docPartObj>
        <w:docPartGallery w:val="Page Numbers (Bottom of Page)"/>
        <w:docPartUnique/>
      </w:docPartObj>
    </w:sdtPr>
    <w:sdtEndPr>
      <w:rPr>
        <w:color w:val="808080" w:themeColor="background1" w:themeShade="80"/>
        <w:spacing w:val="60"/>
      </w:rPr>
    </w:sdtEndPr>
    <w:sdtContent>
      <w:p w:rsidR="00C903BA" w:rsidRDefault="00C903BA" w:rsidP="006B59F4">
        <w:pPr>
          <w:pStyle w:val="Footer"/>
          <w:pBdr>
            <w:top w:val="single" w:sz="4" w:space="1" w:color="D9D9D9" w:themeColor="background1" w:themeShade="D9"/>
          </w:pBdr>
          <w:ind w:right="360"/>
          <w:rPr>
            <w:b/>
            <w:bCs/>
          </w:rPr>
        </w:pPr>
        <w:r>
          <w:rPr>
            <w:b/>
            <w:bCs/>
          </w:rPr>
          <w:t xml:space="preserve"> | </w:t>
        </w:r>
        <w:r>
          <w:rPr>
            <w:color w:val="808080" w:themeColor="background1" w:themeShade="80"/>
            <w:spacing w:val="60"/>
          </w:rPr>
          <w:t>Page</w:t>
        </w:r>
      </w:p>
    </w:sdtContent>
  </w:sdt>
  <w:p w:rsidR="00C903BA" w:rsidRDefault="00C903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97824"/>
      <w:docPartObj>
        <w:docPartGallery w:val="Page Numbers (Bottom of Page)"/>
        <w:docPartUnique/>
      </w:docPartObj>
    </w:sdtPr>
    <w:sdtEndPr>
      <w:rPr>
        <w:noProof/>
      </w:rPr>
    </w:sdtEndPr>
    <w:sdtContent>
      <w:p w:rsidR="00C903BA" w:rsidRDefault="00C903BA">
        <w:pPr>
          <w:pStyle w:val="Footer"/>
          <w:jc w:val="right"/>
        </w:pPr>
        <w:r>
          <w:fldChar w:fldCharType="begin"/>
        </w:r>
        <w:r>
          <w:instrText xml:space="preserve"> PAGE   \* MERGEFORMAT </w:instrText>
        </w:r>
        <w:r>
          <w:fldChar w:fldCharType="separate"/>
        </w:r>
        <w:r w:rsidR="00803AF0">
          <w:rPr>
            <w:noProof/>
          </w:rPr>
          <w:t>5</w:t>
        </w:r>
        <w:r>
          <w:rPr>
            <w:noProof/>
          </w:rPr>
          <w:fldChar w:fldCharType="end"/>
        </w:r>
      </w:p>
    </w:sdtContent>
  </w:sdt>
  <w:p w:rsidR="00C903BA" w:rsidRDefault="00C903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pPr>
      <w:pStyle w:val="Footer"/>
      <w:pBdr>
        <w:top w:val="single" w:sz="4" w:space="1" w:color="D9D9D9" w:themeColor="background1" w:themeShade="D9"/>
      </w:pBdr>
      <w:rPr>
        <w:b/>
        <w:bCs/>
      </w:rPr>
    </w:pPr>
  </w:p>
  <w:p w:rsidR="00C903BA" w:rsidRDefault="00C903B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rsidP="00CC6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3BA" w:rsidRDefault="00C903BA" w:rsidP="00EA0B7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rsidP="002C7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AF0">
      <w:rPr>
        <w:rStyle w:val="PageNumber"/>
        <w:noProof/>
      </w:rPr>
      <w:t>12</w:t>
    </w:r>
    <w:r>
      <w:rPr>
        <w:rStyle w:val="PageNumber"/>
      </w:rPr>
      <w:fldChar w:fldCharType="end"/>
    </w:r>
  </w:p>
  <w:p w:rsidR="00C903BA" w:rsidRDefault="00C903BA" w:rsidP="002C73DF">
    <w:pPr>
      <w:pStyle w:val="Footer"/>
      <w:ind w:right="360"/>
    </w:pPr>
    <w:r>
      <w:t>FINAL REPORT August 2014</w:t>
    </w:r>
  </w:p>
  <w:p w:rsidR="00C903BA" w:rsidRDefault="00C903BA" w:rsidP="002C73DF">
    <w:pPr>
      <w:pStyle w:val="Footer"/>
      <w:ind w:right="360"/>
    </w:pPr>
  </w:p>
  <w:p w:rsidR="00C903BA" w:rsidRDefault="00C903BA" w:rsidP="002C73DF">
    <w:pPr>
      <w:pStyle w:val="Footer"/>
      <w:ind w:right="360"/>
    </w:pPr>
    <w:r w:rsidDel="002C73DF">
      <w:t xml:space="preserve"> </w:t>
    </w:r>
    <w:sdt>
      <w:sdtPr>
        <w:id w:val="516810694"/>
        <w:docPartObj>
          <w:docPartGallery w:val="Page Numbers (Bottom of Page)"/>
          <w:docPartUnique/>
        </w:docPartObj>
      </w:sdtPr>
      <w:sdtEndPr>
        <w:rPr>
          <w:noProof/>
        </w:rPr>
      </w:sdtEndPr>
      <w:sdtContent/>
    </w:sdt>
  </w:p>
  <w:p w:rsidR="00C903BA" w:rsidRDefault="00C903BA" w:rsidP="00EA0B73">
    <w:pPr>
      <w:ind w:right="360"/>
      <w:rPr>
        <w:rFonts w:ascii="Arial Rounded MT Bold" w:hAnsi="Arial Rounded MT Bold"/>
        <w:b/>
        <w:bCs/>
        <w:sz w:val="20"/>
      </w:rPr>
    </w:pPr>
  </w:p>
  <w:p w:rsidR="00C903BA" w:rsidRDefault="00C903BA" w:rsidP="00EA0B73">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rsidP="002C73DF">
    <w:pPr>
      <w:pStyle w:val="Footer"/>
      <w:ind w:right="360"/>
    </w:pPr>
  </w:p>
  <w:p w:rsidR="00C903BA" w:rsidRDefault="00C903BA" w:rsidP="002C73DF">
    <w:pPr>
      <w:pStyle w:val="Footer"/>
      <w:ind w:right="360"/>
    </w:pPr>
    <w:r>
      <w:t>FINAL REPORT April 1, 2013</w:t>
    </w:r>
    <w:sdt>
      <w:sdtPr>
        <w:id w:val="1226875779"/>
        <w:docPartObj>
          <w:docPartGallery w:val="Page Numbers (Bottom of Page)"/>
          <w:docPartUnique/>
        </w:docPartObj>
      </w:sdtPr>
      <w:sdtEndPr>
        <w:rPr>
          <w:noProof/>
        </w:rPr>
      </w:sdtEndPr>
      <w:sdtContent/>
    </w:sdt>
  </w:p>
  <w:p w:rsidR="00C903BA" w:rsidRDefault="00C903BA" w:rsidP="002C73DF">
    <w:pPr>
      <w:pStyle w:val="Footer"/>
      <w:ind w:right="360"/>
    </w:pPr>
    <w:r w:rsidDel="002C73DF">
      <w:t xml:space="preserve"> </w:t>
    </w:r>
    <w:sdt>
      <w:sdtPr>
        <w:id w:val="1977015269"/>
        <w:docPartObj>
          <w:docPartGallery w:val="Page Numbers (Bottom of Page)"/>
          <w:docPartUnique/>
        </w:docPartObj>
      </w:sdtPr>
      <w:sdtEndPr>
        <w:rPr>
          <w:noProof/>
        </w:rPr>
      </w:sdtEndPr>
      <w:sdtContent/>
    </w:sdt>
  </w:p>
  <w:p w:rsidR="00C903BA" w:rsidRPr="00024A97" w:rsidRDefault="00C903BA" w:rsidP="00EA0B73">
    <w:pPr>
      <w:pStyle w:val="Footer"/>
      <w:rPr>
        <w:color w:val="0066FF"/>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BA" w:rsidRDefault="00C903BA" w:rsidP="009B4BC3">
      <w:pPr>
        <w:spacing w:line="240" w:lineRule="auto"/>
      </w:pPr>
      <w:r>
        <w:separator/>
      </w:r>
    </w:p>
  </w:footnote>
  <w:footnote w:type="continuationSeparator" w:id="0">
    <w:p w:rsidR="00C903BA" w:rsidRDefault="00C903BA" w:rsidP="009B4BC3">
      <w:pPr>
        <w:spacing w:line="240" w:lineRule="auto"/>
      </w:pPr>
      <w:r>
        <w:continuationSeparator/>
      </w:r>
    </w:p>
  </w:footnote>
  <w:footnote w:id="1">
    <w:p w:rsidR="00C903BA" w:rsidRDefault="00C903BA" w:rsidP="00057F1D">
      <w:pPr>
        <w:pStyle w:val="FootnoteText"/>
      </w:pPr>
      <w:r>
        <w:rPr>
          <w:rStyle w:val="FootnoteReference"/>
        </w:rPr>
        <w:footnoteRef/>
      </w:r>
      <w:r>
        <w:t xml:space="preserve"> A second study, </w:t>
      </w:r>
      <w:r w:rsidRPr="00A51799">
        <w:rPr>
          <w:i/>
        </w:rPr>
        <w:t>Adequacy and Excellence in Education in Kentucky:  Report</w:t>
      </w:r>
      <w:r>
        <w:t xml:space="preserve"> </w:t>
      </w:r>
      <w:r w:rsidRPr="00A51799">
        <w:rPr>
          <w:i/>
        </w:rPr>
        <w:t xml:space="preserve">2 </w:t>
      </w:r>
      <w:r>
        <w:t xml:space="preserve">provides information on the cost of the proposals detailed in this document, </w:t>
      </w:r>
      <w:r w:rsidRPr="00A51799">
        <w:rPr>
          <w:i/>
        </w:rPr>
        <w:t>Adequacy and Excellence in Education in Kentucky:  Report 1</w:t>
      </w:r>
      <w:r>
        <w:t>.</w:t>
      </w:r>
    </w:p>
  </w:footnote>
  <w:footnote w:id="2">
    <w:p w:rsidR="00C903BA" w:rsidRDefault="00C903BA" w:rsidP="00F02794">
      <w:pPr>
        <w:pStyle w:val="FootnoteText"/>
      </w:pPr>
      <w:r>
        <w:rPr>
          <w:rStyle w:val="FootnoteReference"/>
        </w:rPr>
        <w:footnoteRef/>
      </w:r>
      <w:r>
        <w:t xml:space="preserve"> The National Center for Education Statistics calculates four-year graduation rates by using the</w:t>
      </w:r>
      <w:r w:rsidRPr="00B36994">
        <w:rPr>
          <w:i/>
          <w:color w:val="232323"/>
        </w:rPr>
        <w:t xml:space="preserve"> </w:t>
      </w:r>
      <w:r>
        <w:rPr>
          <w:i/>
          <w:color w:val="232323"/>
        </w:rPr>
        <w:t>“…</w:t>
      </w:r>
      <w:r w:rsidRPr="00B36994">
        <w:rPr>
          <w:i/>
          <w:color w:val="232323"/>
        </w:rPr>
        <w:t>aggregate student enrollment data to estimate the size of an incoming freshman class and aggregate counts of the number of diplomas awarded 4 years later</w:t>
      </w:r>
      <w:r w:rsidRPr="00B36994">
        <w:rPr>
          <w:color w:val="232323"/>
        </w:rPr>
        <w:t>.</w:t>
      </w:r>
      <w:r>
        <w:rPr>
          <w:color w:val="232323"/>
        </w:rPr>
        <w:t>”</w:t>
      </w:r>
    </w:p>
  </w:footnote>
  <w:footnote w:id="3">
    <w:p w:rsidR="00C903BA" w:rsidRDefault="00C903BA" w:rsidP="00F02794">
      <w:pPr>
        <w:pStyle w:val="FootnoteText"/>
      </w:pPr>
      <w:r>
        <w:rPr>
          <w:rStyle w:val="FootnoteReference"/>
        </w:rPr>
        <w:footnoteRef/>
      </w:r>
      <w:r>
        <w:t xml:space="preserve"> </w:t>
      </w:r>
      <w:proofErr w:type="gramStart"/>
      <w:r w:rsidRPr="009A63FB">
        <w:t>Calculated by the CL Higher Education Center using data from the U.S. Department of Education.</w:t>
      </w:r>
      <w:proofErr w:type="gramEnd"/>
    </w:p>
  </w:footnote>
  <w:footnote w:id="4">
    <w:p w:rsidR="00C903BA" w:rsidRDefault="00C903BA" w:rsidP="00531EB6">
      <w:pPr>
        <w:pStyle w:val="FootnoteText"/>
      </w:pPr>
      <w:r>
        <w:rPr>
          <w:rStyle w:val="FootnoteReference"/>
        </w:rPr>
        <w:footnoteRef/>
      </w:r>
      <w:r w:rsidRPr="00503771">
        <w:t xml:space="preserve"> Arkansas standards are used as an approximation of the square footage requirements for prototypical schools</w:t>
      </w:r>
      <w:r>
        <w:t xml:space="preserve">. </w:t>
      </w:r>
      <w:r w:rsidRPr="00503771">
        <w:t>Many states have school facility standards that are described and outlined in a variety of alternative methods</w:t>
      </w:r>
      <w:r>
        <w:t xml:space="preserve">. </w:t>
      </w:r>
      <w:r w:rsidRPr="00503771">
        <w:t>The Arkansas standards are in about the middle of state standards that are available (see Seder,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803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7208" o:spid="_x0000_s2053"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803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7209" o:spid="_x0000_s2054"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803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7207" o:spid="_x0000_s2052"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rsidP="00761071">
    <w:pPr>
      <w:pStyle w:val="Header"/>
      <w:tabs>
        <w:tab w:val="clear" w:pos="4680"/>
        <w:tab w:val="clear" w:pos="9360"/>
        <w:tab w:val="left" w:pos="453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BA" w:rsidRDefault="00C90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A42"/>
    <w:multiLevelType w:val="hybridMultilevel"/>
    <w:tmpl w:val="72C68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FD7"/>
    <w:multiLevelType w:val="hybridMultilevel"/>
    <w:tmpl w:val="6FE299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96E20"/>
    <w:multiLevelType w:val="hybridMultilevel"/>
    <w:tmpl w:val="367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86C3F"/>
    <w:multiLevelType w:val="hybridMultilevel"/>
    <w:tmpl w:val="FA1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80FDD"/>
    <w:multiLevelType w:val="hybridMultilevel"/>
    <w:tmpl w:val="9124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F8509D6"/>
    <w:multiLevelType w:val="hybridMultilevel"/>
    <w:tmpl w:val="47F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8176C"/>
    <w:multiLevelType w:val="hybridMultilevel"/>
    <w:tmpl w:val="96C0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208DE"/>
    <w:multiLevelType w:val="hybridMultilevel"/>
    <w:tmpl w:val="C7A0F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0337D"/>
    <w:multiLevelType w:val="hybridMultilevel"/>
    <w:tmpl w:val="FA0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F397D"/>
    <w:multiLevelType w:val="hybridMultilevel"/>
    <w:tmpl w:val="7802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84442"/>
    <w:multiLevelType w:val="hybridMultilevel"/>
    <w:tmpl w:val="74D6D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164A2"/>
    <w:multiLevelType w:val="hybridMultilevel"/>
    <w:tmpl w:val="A97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81C21"/>
    <w:multiLevelType w:val="hybridMultilevel"/>
    <w:tmpl w:val="66C4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F516D"/>
    <w:multiLevelType w:val="hybridMultilevel"/>
    <w:tmpl w:val="36082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73124"/>
    <w:multiLevelType w:val="hybridMultilevel"/>
    <w:tmpl w:val="D2D2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35528"/>
    <w:multiLevelType w:val="hybridMultilevel"/>
    <w:tmpl w:val="4232096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145561A"/>
    <w:multiLevelType w:val="hybridMultilevel"/>
    <w:tmpl w:val="E0E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85CBD"/>
    <w:multiLevelType w:val="hybridMultilevel"/>
    <w:tmpl w:val="005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1465C"/>
    <w:multiLevelType w:val="multilevel"/>
    <w:tmpl w:val="0324CE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38EB3EB1"/>
    <w:multiLevelType w:val="hybridMultilevel"/>
    <w:tmpl w:val="D534A5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3B654C15"/>
    <w:multiLevelType w:val="hybridMultilevel"/>
    <w:tmpl w:val="FD08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35E5F"/>
    <w:multiLevelType w:val="hybridMultilevel"/>
    <w:tmpl w:val="66E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20465"/>
    <w:multiLevelType w:val="multilevel"/>
    <w:tmpl w:val="3D9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91377"/>
    <w:multiLevelType w:val="hybridMultilevel"/>
    <w:tmpl w:val="F08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57AA8"/>
    <w:multiLevelType w:val="hybridMultilevel"/>
    <w:tmpl w:val="C16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8069B"/>
    <w:multiLevelType w:val="hybridMultilevel"/>
    <w:tmpl w:val="A1E2E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55C94"/>
    <w:multiLevelType w:val="hybridMultilevel"/>
    <w:tmpl w:val="775EF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74B38"/>
    <w:multiLevelType w:val="hybridMultilevel"/>
    <w:tmpl w:val="CBDC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1417D5"/>
    <w:multiLevelType w:val="hybridMultilevel"/>
    <w:tmpl w:val="D79A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A3D86"/>
    <w:multiLevelType w:val="hybridMultilevel"/>
    <w:tmpl w:val="0A6C36A8"/>
    <w:lvl w:ilvl="0" w:tplc="8D3CACA6">
      <w:start w:val="1"/>
      <w:numFmt w:val="decimal"/>
      <w:lvlText w:val="%1."/>
      <w:lvlJc w:val="left"/>
      <w:pPr>
        <w:ind w:left="1008" w:hanging="360"/>
      </w:pPr>
      <w:rPr>
        <w:rFonts w:ascii="Times New Roman" w:eastAsiaTheme="minorHAnsi" w:hAnsi="Times New Roman"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45074D7D"/>
    <w:multiLevelType w:val="hybridMultilevel"/>
    <w:tmpl w:val="D0922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F16BF4"/>
    <w:multiLevelType w:val="hybridMultilevel"/>
    <w:tmpl w:val="B4E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377CA7"/>
    <w:multiLevelType w:val="hybridMultilevel"/>
    <w:tmpl w:val="7DB4E20A"/>
    <w:lvl w:ilvl="0" w:tplc="DEEA31BC">
      <w:start w:val="1"/>
      <w:numFmt w:val="lowerLetter"/>
      <w:lvlText w:val="(%1)"/>
      <w:lvlJc w:val="left"/>
      <w:pPr>
        <w:ind w:left="720" w:hanging="360"/>
      </w:pPr>
      <w:rPr>
        <w:rFonts w:eastAsia="Times New Roman"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572EF"/>
    <w:multiLevelType w:val="hybridMultilevel"/>
    <w:tmpl w:val="02F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F96B57"/>
    <w:multiLevelType w:val="hybridMultilevel"/>
    <w:tmpl w:val="7C76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761EAD"/>
    <w:multiLevelType w:val="hybridMultilevel"/>
    <w:tmpl w:val="3352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830330"/>
    <w:multiLevelType w:val="hybridMultilevel"/>
    <w:tmpl w:val="D550D7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5947B8"/>
    <w:multiLevelType w:val="hybridMultilevel"/>
    <w:tmpl w:val="FC04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5C1866"/>
    <w:multiLevelType w:val="hybridMultilevel"/>
    <w:tmpl w:val="5EC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305891"/>
    <w:multiLevelType w:val="hybridMultilevel"/>
    <w:tmpl w:val="06FA21E8"/>
    <w:lvl w:ilvl="0" w:tplc="1836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4E542B"/>
    <w:multiLevelType w:val="multilevel"/>
    <w:tmpl w:val="28BE673A"/>
    <w:lvl w:ilvl="0">
      <w:start w:val="1"/>
      <w:numFmt w:val="decimal"/>
      <w:lvlText w:val="%1."/>
      <w:lvlJc w:val="left"/>
      <w:pPr>
        <w:ind w:left="1008" w:hanging="360"/>
      </w:pPr>
      <w:rPr>
        <w:rFonts w:ascii="Times New Roman" w:eastAsiaTheme="minorHAnsi" w:hAnsi="Times New Roman" w:cstheme="minorBidi"/>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1">
    <w:nsid w:val="52DC0DA0"/>
    <w:multiLevelType w:val="hybridMultilevel"/>
    <w:tmpl w:val="CF5451A8"/>
    <w:lvl w:ilvl="0" w:tplc="0000012D">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D5011E8"/>
    <w:multiLevelType w:val="hybridMultilevel"/>
    <w:tmpl w:val="5FBA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7E5CF8"/>
    <w:multiLevelType w:val="hybridMultilevel"/>
    <w:tmpl w:val="B2B6720A"/>
    <w:lvl w:ilvl="0" w:tplc="0000012D">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95126A"/>
    <w:multiLevelType w:val="hybridMultilevel"/>
    <w:tmpl w:val="2B54B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026CF5"/>
    <w:multiLevelType w:val="hybridMultilevel"/>
    <w:tmpl w:val="656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460333"/>
    <w:multiLevelType w:val="hybridMultilevel"/>
    <w:tmpl w:val="F6B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B96FC0"/>
    <w:multiLevelType w:val="hybridMultilevel"/>
    <w:tmpl w:val="28BE673A"/>
    <w:lvl w:ilvl="0" w:tplc="8D3CACA6">
      <w:start w:val="1"/>
      <w:numFmt w:val="decimal"/>
      <w:lvlText w:val="%1."/>
      <w:lvlJc w:val="left"/>
      <w:pPr>
        <w:ind w:left="1008" w:hanging="360"/>
      </w:pPr>
      <w:rPr>
        <w:rFonts w:ascii="Times New Roman" w:eastAsiaTheme="minorHAnsi" w:hAnsi="Times New Roman"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nsid w:val="68124C13"/>
    <w:multiLevelType w:val="hybridMultilevel"/>
    <w:tmpl w:val="8FD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3F0BD7"/>
    <w:multiLevelType w:val="hybridMultilevel"/>
    <w:tmpl w:val="CAD25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7C1826"/>
    <w:multiLevelType w:val="hybridMultilevel"/>
    <w:tmpl w:val="453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BB4C91"/>
    <w:multiLevelType w:val="hybridMultilevel"/>
    <w:tmpl w:val="3F6ECFEC"/>
    <w:lvl w:ilvl="0" w:tplc="1836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2A41F0"/>
    <w:multiLevelType w:val="hybridMultilevel"/>
    <w:tmpl w:val="D09CA47C"/>
    <w:lvl w:ilvl="0" w:tplc="0000012D">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0D7186"/>
    <w:multiLevelType w:val="hybridMultilevel"/>
    <w:tmpl w:val="026AEAE8"/>
    <w:lvl w:ilvl="0" w:tplc="04090005">
      <w:start w:val="1"/>
      <w:numFmt w:val="bullet"/>
      <w:pStyle w:val="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B92B7E"/>
    <w:multiLevelType w:val="hybridMultilevel"/>
    <w:tmpl w:val="79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6F59EF"/>
    <w:multiLevelType w:val="hybridMultilevel"/>
    <w:tmpl w:val="BDBC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1"/>
  </w:num>
  <w:num w:numId="3">
    <w:abstractNumId w:val="8"/>
  </w:num>
  <w:num w:numId="4">
    <w:abstractNumId w:val="48"/>
  </w:num>
  <w:num w:numId="5">
    <w:abstractNumId w:val="50"/>
  </w:num>
  <w:num w:numId="6">
    <w:abstractNumId w:val="17"/>
  </w:num>
  <w:num w:numId="7">
    <w:abstractNumId w:val="24"/>
  </w:num>
  <w:num w:numId="8">
    <w:abstractNumId w:val="21"/>
  </w:num>
  <w:num w:numId="9">
    <w:abstractNumId w:val="27"/>
  </w:num>
  <w:num w:numId="10">
    <w:abstractNumId w:val="12"/>
  </w:num>
  <w:num w:numId="11">
    <w:abstractNumId w:val="31"/>
  </w:num>
  <w:num w:numId="12">
    <w:abstractNumId w:val="2"/>
  </w:num>
  <w:num w:numId="13">
    <w:abstractNumId w:val="16"/>
  </w:num>
  <w:num w:numId="14">
    <w:abstractNumId w:val="51"/>
  </w:num>
  <w:num w:numId="15">
    <w:abstractNumId w:val="39"/>
  </w:num>
  <w:num w:numId="16">
    <w:abstractNumId w:val="22"/>
  </w:num>
  <w:num w:numId="17">
    <w:abstractNumId w:val="54"/>
  </w:num>
  <w:num w:numId="18">
    <w:abstractNumId w:val="7"/>
  </w:num>
  <w:num w:numId="19">
    <w:abstractNumId w:val="19"/>
  </w:num>
  <w:num w:numId="20">
    <w:abstractNumId w:val="23"/>
  </w:num>
  <w:num w:numId="21">
    <w:abstractNumId w:val="5"/>
  </w:num>
  <w:num w:numId="22">
    <w:abstractNumId w:val="25"/>
  </w:num>
  <w:num w:numId="23">
    <w:abstractNumId w:val="42"/>
  </w:num>
  <w:num w:numId="24">
    <w:abstractNumId w:val="18"/>
  </w:num>
  <w:num w:numId="25">
    <w:abstractNumId w:val="47"/>
  </w:num>
  <w:num w:numId="26">
    <w:abstractNumId w:val="38"/>
  </w:num>
  <w:num w:numId="27">
    <w:abstractNumId w:val="33"/>
  </w:num>
  <w:num w:numId="28">
    <w:abstractNumId w:val="37"/>
  </w:num>
  <w:num w:numId="29">
    <w:abstractNumId w:val="43"/>
  </w:num>
  <w:num w:numId="30">
    <w:abstractNumId w:val="41"/>
  </w:num>
  <w:num w:numId="31">
    <w:abstractNumId w:val="26"/>
  </w:num>
  <w:num w:numId="32">
    <w:abstractNumId w:val="52"/>
  </w:num>
  <w:num w:numId="33">
    <w:abstractNumId w:val="10"/>
  </w:num>
  <w:num w:numId="34">
    <w:abstractNumId w:val="0"/>
  </w:num>
  <w:num w:numId="35">
    <w:abstractNumId w:val="36"/>
  </w:num>
  <w:num w:numId="36">
    <w:abstractNumId w:val="30"/>
  </w:num>
  <w:num w:numId="37">
    <w:abstractNumId w:val="15"/>
  </w:num>
  <w:num w:numId="38">
    <w:abstractNumId w:val="44"/>
  </w:num>
  <w:num w:numId="39">
    <w:abstractNumId w:val="49"/>
  </w:num>
  <w:num w:numId="40">
    <w:abstractNumId w:val="13"/>
  </w:num>
  <w:num w:numId="41">
    <w:abstractNumId w:val="1"/>
  </w:num>
  <w:num w:numId="42">
    <w:abstractNumId w:val="6"/>
  </w:num>
  <w:num w:numId="43">
    <w:abstractNumId w:val="20"/>
  </w:num>
  <w:num w:numId="44">
    <w:abstractNumId w:val="46"/>
  </w:num>
  <w:num w:numId="45">
    <w:abstractNumId w:val="3"/>
  </w:num>
  <w:num w:numId="46">
    <w:abstractNumId w:val="45"/>
  </w:num>
  <w:num w:numId="47">
    <w:abstractNumId w:val="9"/>
  </w:num>
  <w:num w:numId="48">
    <w:abstractNumId w:val="32"/>
  </w:num>
  <w:num w:numId="49">
    <w:abstractNumId w:val="35"/>
  </w:num>
  <w:num w:numId="50">
    <w:abstractNumId w:val="4"/>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8"/>
  </w:num>
  <w:num w:numId="54">
    <w:abstractNumId w:val="55"/>
  </w:num>
  <w:num w:numId="55">
    <w:abstractNumId w:val="40"/>
  </w:num>
  <w:num w:numId="56">
    <w:abstractNumId w:val="29"/>
  </w:num>
  <w:num w:numId="57">
    <w:abstractNumId w:val="34"/>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e Williams">
    <w15:presenceInfo w15:providerId="Windows Live" w15:userId="405593862b640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11"/>
    <w:rsid w:val="0000030A"/>
    <w:rsid w:val="000004DA"/>
    <w:rsid w:val="00001303"/>
    <w:rsid w:val="00001697"/>
    <w:rsid w:val="00001E7F"/>
    <w:rsid w:val="000021C7"/>
    <w:rsid w:val="00003921"/>
    <w:rsid w:val="00003E42"/>
    <w:rsid w:val="00004118"/>
    <w:rsid w:val="000045EC"/>
    <w:rsid w:val="00004621"/>
    <w:rsid w:val="000046B7"/>
    <w:rsid w:val="00005BAB"/>
    <w:rsid w:val="00007486"/>
    <w:rsid w:val="00010578"/>
    <w:rsid w:val="000121DA"/>
    <w:rsid w:val="00014BC7"/>
    <w:rsid w:val="00015420"/>
    <w:rsid w:val="00017263"/>
    <w:rsid w:val="00021100"/>
    <w:rsid w:val="00021183"/>
    <w:rsid w:val="000232F4"/>
    <w:rsid w:val="0002556A"/>
    <w:rsid w:val="000274C3"/>
    <w:rsid w:val="000300A8"/>
    <w:rsid w:val="00032949"/>
    <w:rsid w:val="00034549"/>
    <w:rsid w:val="00034CB3"/>
    <w:rsid w:val="00035497"/>
    <w:rsid w:val="00035DAD"/>
    <w:rsid w:val="00037131"/>
    <w:rsid w:val="00040D59"/>
    <w:rsid w:val="00041730"/>
    <w:rsid w:val="000465A4"/>
    <w:rsid w:val="0005174E"/>
    <w:rsid w:val="00051BE9"/>
    <w:rsid w:val="000522CF"/>
    <w:rsid w:val="0005357A"/>
    <w:rsid w:val="00054E49"/>
    <w:rsid w:val="00055D88"/>
    <w:rsid w:val="0005711D"/>
    <w:rsid w:val="00057F1D"/>
    <w:rsid w:val="0006002E"/>
    <w:rsid w:val="00060078"/>
    <w:rsid w:val="00060C93"/>
    <w:rsid w:val="00061932"/>
    <w:rsid w:val="000621BF"/>
    <w:rsid w:val="00062391"/>
    <w:rsid w:val="000626AC"/>
    <w:rsid w:val="00064706"/>
    <w:rsid w:val="0006506F"/>
    <w:rsid w:val="00065620"/>
    <w:rsid w:val="00065699"/>
    <w:rsid w:val="00065A41"/>
    <w:rsid w:val="00066491"/>
    <w:rsid w:val="000667B2"/>
    <w:rsid w:val="000713D7"/>
    <w:rsid w:val="0007263B"/>
    <w:rsid w:val="00072B12"/>
    <w:rsid w:val="00073A48"/>
    <w:rsid w:val="000777BF"/>
    <w:rsid w:val="000779D6"/>
    <w:rsid w:val="0008084C"/>
    <w:rsid w:val="00081CC9"/>
    <w:rsid w:val="000827F8"/>
    <w:rsid w:val="0008286D"/>
    <w:rsid w:val="0008370C"/>
    <w:rsid w:val="00083883"/>
    <w:rsid w:val="00083C3D"/>
    <w:rsid w:val="00084089"/>
    <w:rsid w:val="00084F5C"/>
    <w:rsid w:val="00086409"/>
    <w:rsid w:val="00086464"/>
    <w:rsid w:val="00087C1B"/>
    <w:rsid w:val="00087CE0"/>
    <w:rsid w:val="00090633"/>
    <w:rsid w:val="00090CF6"/>
    <w:rsid w:val="00090DBD"/>
    <w:rsid w:val="000923A2"/>
    <w:rsid w:val="0009273C"/>
    <w:rsid w:val="00093415"/>
    <w:rsid w:val="0009422B"/>
    <w:rsid w:val="00096ADF"/>
    <w:rsid w:val="000A0E51"/>
    <w:rsid w:val="000A1049"/>
    <w:rsid w:val="000A13A1"/>
    <w:rsid w:val="000A2E6E"/>
    <w:rsid w:val="000A640F"/>
    <w:rsid w:val="000A6939"/>
    <w:rsid w:val="000B0F45"/>
    <w:rsid w:val="000B0FAB"/>
    <w:rsid w:val="000B1ABC"/>
    <w:rsid w:val="000B1B75"/>
    <w:rsid w:val="000B2382"/>
    <w:rsid w:val="000B24D6"/>
    <w:rsid w:val="000B2E06"/>
    <w:rsid w:val="000B3417"/>
    <w:rsid w:val="000B4207"/>
    <w:rsid w:val="000B43BD"/>
    <w:rsid w:val="000B4D34"/>
    <w:rsid w:val="000B568F"/>
    <w:rsid w:val="000B574B"/>
    <w:rsid w:val="000B5FED"/>
    <w:rsid w:val="000B7478"/>
    <w:rsid w:val="000C1FFD"/>
    <w:rsid w:val="000C3B20"/>
    <w:rsid w:val="000C4677"/>
    <w:rsid w:val="000C4B08"/>
    <w:rsid w:val="000C772C"/>
    <w:rsid w:val="000D00C5"/>
    <w:rsid w:val="000D099B"/>
    <w:rsid w:val="000D0F9E"/>
    <w:rsid w:val="000D1D59"/>
    <w:rsid w:val="000D2477"/>
    <w:rsid w:val="000D3E7F"/>
    <w:rsid w:val="000D587A"/>
    <w:rsid w:val="000D5881"/>
    <w:rsid w:val="000D6029"/>
    <w:rsid w:val="000D7E56"/>
    <w:rsid w:val="000E0F8B"/>
    <w:rsid w:val="000E2B33"/>
    <w:rsid w:val="000E2B3F"/>
    <w:rsid w:val="000E2BBF"/>
    <w:rsid w:val="000E2CD9"/>
    <w:rsid w:val="000E3182"/>
    <w:rsid w:val="000E423A"/>
    <w:rsid w:val="000E47C2"/>
    <w:rsid w:val="000E70C1"/>
    <w:rsid w:val="000F02BB"/>
    <w:rsid w:val="000F1DBB"/>
    <w:rsid w:val="000F48EB"/>
    <w:rsid w:val="000F567F"/>
    <w:rsid w:val="000F5DF4"/>
    <w:rsid w:val="000F67C4"/>
    <w:rsid w:val="000F6BD2"/>
    <w:rsid w:val="000F7BB9"/>
    <w:rsid w:val="00100771"/>
    <w:rsid w:val="001017AD"/>
    <w:rsid w:val="00101841"/>
    <w:rsid w:val="00102381"/>
    <w:rsid w:val="00102521"/>
    <w:rsid w:val="001025CB"/>
    <w:rsid w:val="00102740"/>
    <w:rsid w:val="00103D51"/>
    <w:rsid w:val="00105424"/>
    <w:rsid w:val="0010768C"/>
    <w:rsid w:val="001077DC"/>
    <w:rsid w:val="00107A4F"/>
    <w:rsid w:val="001116CA"/>
    <w:rsid w:val="00112528"/>
    <w:rsid w:val="00113BE7"/>
    <w:rsid w:val="001140B1"/>
    <w:rsid w:val="00114E1E"/>
    <w:rsid w:val="0011500D"/>
    <w:rsid w:val="001163B2"/>
    <w:rsid w:val="00117EB8"/>
    <w:rsid w:val="00120037"/>
    <w:rsid w:val="001206CA"/>
    <w:rsid w:val="00120834"/>
    <w:rsid w:val="00121448"/>
    <w:rsid w:val="001216A5"/>
    <w:rsid w:val="00122834"/>
    <w:rsid w:val="0012291D"/>
    <w:rsid w:val="001229B7"/>
    <w:rsid w:val="00123CCC"/>
    <w:rsid w:val="001267BB"/>
    <w:rsid w:val="001272EA"/>
    <w:rsid w:val="001274CA"/>
    <w:rsid w:val="00130072"/>
    <w:rsid w:val="0013105C"/>
    <w:rsid w:val="00131265"/>
    <w:rsid w:val="0013153F"/>
    <w:rsid w:val="001328DF"/>
    <w:rsid w:val="00132BA9"/>
    <w:rsid w:val="00132EEB"/>
    <w:rsid w:val="00135EDD"/>
    <w:rsid w:val="001363B6"/>
    <w:rsid w:val="001368C5"/>
    <w:rsid w:val="00137C1F"/>
    <w:rsid w:val="0014103A"/>
    <w:rsid w:val="0014173E"/>
    <w:rsid w:val="00143BEF"/>
    <w:rsid w:val="001454F8"/>
    <w:rsid w:val="00145D85"/>
    <w:rsid w:val="0014649C"/>
    <w:rsid w:val="00147C43"/>
    <w:rsid w:val="00150518"/>
    <w:rsid w:val="00152176"/>
    <w:rsid w:val="00152280"/>
    <w:rsid w:val="001537E6"/>
    <w:rsid w:val="0015588A"/>
    <w:rsid w:val="0015758E"/>
    <w:rsid w:val="00157DDE"/>
    <w:rsid w:val="001611CC"/>
    <w:rsid w:val="0016135D"/>
    <w:rsid w:val="00161A13"/>
    <w:rsid w:val="00161ACA"/>
    <w:rsid w:val="0016222E"/>
    <w:rsid w:val="001640A5"/>
    <w:rsid w:val="00167864"/>
    <w:rsid w:val="00171E71"/>
    <w:rsid w:val="00172ED4"/>
    <w:rsid w:val="00173AA3"/>
    <w:rsid w:val="001749CC"/>
    <w:rsid w:val="00175E7A"/>
    <w:rsid w:val="001765F8"/>
    <w:rsid w:val="00176AC3"/>
    <w:rsid w:val="001779FD"/>
    <w:rsid w:val="0018066B"/>
    <w:rsid w:val="00180AD6"/>
    <w:rsid w:val="00181597"/>
    <w:rsid w:val="0018192E"/>
    <w:rsid w:val="00182FC0"/>
    <w:rsid w:val="00184C39"/>
    <w:rsid w:val="00184C94"/>
    <w:rsid w:val="00185A20"/>
    <w:rsid w:val="00186599"/>
    <w:rsid w:val="001866F4"/>
    <w:rsid w:val="0019138A"/>
    <w:rsid w:val="00191D6C"/>
    <w:rsid w:val="00191EF2"/>
    <w:rsid w:val="00192D7C"/>
    <w:rsid w:val="0019312D"/>
    <w:rsid w:val="00193307"/>
    <w:rsid w:val="001948FE"/>
    <w:rsid w:val="001949F9"/>
    <w:rsid w:val="00194D8F"/>
    <w:rsid w:val="0019559A"/>
    <w:rsid w:val="001958B7"/>
    <w:rsid w:val="001959F4"/>
    <w:rsid w:val="00195DF7"/>
    <w:rsid w:val="001960BE"/>
    <w:rsid w:val="00197EEA"/>
    <w:rsid w:val="001A0E26"/>
    <w:rsid w:val="001A0F5E"/>
    <w:rsid w:val="001A367B"/>
    <w:rsid w:val="001A41AA"/>
    <w:rsid w:val="001A4F84"/>
    <w:rsid w:val="001A5442"/>
    <w:rsid w:val="001A66E2"/>
    <w:rsid w:val="001A7240"/>
    <w:rsid w:val="001A7878"/>
    <w:rsid w:val="001B03A9"/>
    <w:rsid w:val="001B3B5D"/>
    <w:rsid w:val="001B4BE3"/>
    <w:rsid w:val="001B6E04"/>
    <w:rsid w:val="001B7693"/>
    <w:rsid w:val="001B780E"/>
    <w:rsid w:val="001C38A8"/>
    <w:rsid w:val="001C469E"/>
    <w:rsid w:val="001C4FC5"/>
    <w:rsid w:val="001C55B4"/>
    <w:rsid w:val="001C72C2"/>
    <w:rsid w:val="001D0535"/>
    <w:rsid w:val="001D30F1"/>
    <w:rsid w:val="001D41E1"/>
    <w:rsid w:val="001D578D"/>
    <w:rsid w:val="001D69B5"/>
    <w:rsid w:val="001D6AB2"/>
    <w:rsid w:val="001E297B"/>
    <w:rsid w:val="001E2E6F"/>
    <w:rsid w:val="001E3D11"/>
    <w:rsid w:val="001E4565"/>
    <w:rsid w:val="001E49E0"/>
    <w:rsid w:val="001E508B"/>
    <w:rsid w:val="001E5FEA"/>
    <w:rsid w:val="001F0649"/>
    <w:rsid w:val="001F0CB4"/>
    <w:rsid w:val="001F193E"/>
    <w:rsid w:val="001F1D0C"/>
    <w:rsid w:val="001F1F30"/>
    <w:rsid w:val="001F1FF6"/>
    <w:rsid w:val="001F4BF6"/>
    <w:rsid w:val="001F7B38"/>
    <w:rsid w:val="00200275"/>
    <w:rsid w:val="002017AF"/>
    <w:rsid w:val="002019F9"/>
    <w:rsid w:val="00202E97"/>
    <w:rsid w:val="00203D90"/>
    <w:rsid w:val="00203EEE"/>
    <w:rsid w:val="002041A3"/>
    <w:rsid w:val="00204D80"/>
    <w:rsid w:val="00205ADB"/>
    <w:rsid w:val="0020657B"/>
    <w:rsid w:val="0020726B"/>
    <w:rsid w:val="002102F2"/>
    <w:rsid w:val="002127E1"/>
    <w:rsid w:val="00212CFB"/>
    <w:rsid w:val="0021309F"/>
    <w:rsid w:val="002155E8"/>
    <w:rsid w:val="002169FF"/>
    <w:rsid w:val="00216C05"/>
    <w:rsid w:val="002175E3"/>
    <w:rsid w:val="00217998"/>
    <w:rsid w:val="00217D60"/>
    <w:rsid w:val="0022107D"/>
    <w:rsid w:val="0022221E"/>
    <w:rsid w:val="00222342"/>
    <w:rsid w:val="0022257D"/>
    <w:rsid w:val="0022288D"/>
    <w:rsid w:val="0022368F"/>
    <w:rsid w:val="00226E9F"/>
    <w:rsid w:val="0022709A"/>
    <w:rsid w:val="002275AE"/>
    <w:rsid w:val="00230376"/>
    <w:rsid w:val="0023073A"/>
    <w:rsid w:val="00230EFE"/>
    <w:rsid w:val="00232B65"/>
    <w:rsid w:val="0023327F"/>
    <w:rsid w:val="00233469"/>
    <w:rsid w:val="002342B5"/>
    <w:rsid w:val="00234BF1"/>
    <w:rsid w:val="0023604E"/>
    <w:rsid w:val="0023688B"/>
    <w:rsid w:val="00240555"/>
    <w:rsid w:val="00240766"/>
    <w:rsid w:val="00240805"/>
    <w:rsid w:val="0024093A"/>
    <w:rsid w:val="00240A3B"/>
    <w:rsid w:val="00240C38"/>
    <w:rsid w:val="00240DD2"/>
    <w:rsid w:val="00241AD6"/>
    <w:rsid w:val="00241B6B"/>
    <w:rsid w:val="00242BE1"/>
    <w:rsid w:val="00243AA2"/>
    <w:rsid w:val="00244230"/>
    <w:rsid w:val="00244E5C"/>
    <w:rsid w:val="00245938"/>
    <w:rsid w:val="002460BE"/>
    <w:rsid w:val="002461C2"/>
    <w:rsid w:val="00246694"/>
    <w:rsid w:val="00247291"/>
    <w:rsid w:val="00247617"/>
    <w:rsid w:val="00251456"/>
    <w:rsid w:val="002527B6"/>
    <w:rsid w:val="00254348"/>
    <w:rsid w:val="00254B29"/>
    <w:rsid w:val="00254BCC"/>
    <w:rsid w:val="00254DA1"/>
    <w:rsid w:val="002559B6"/>
    <w:rsid w:val="002620A6"/>
    <w:rsid w:val="00263172"/>
    <w:rsid w:val="00264563"/>
    <w:rsid w:val="00264E5D"/>
    <w:rsid w:val="002650E0"/>
    <w:rsid w:val="00265D62"/>
    <w:rsid w:val="00266DA7"/>
    <w:rsid w:val="002674A1"/>
    <w:rsid w:val="002701AC"/>
    <w:rsid w:val="00272034"/>
    <w:rsid w:val="00272A4A"/>
    <w:rsid w:val="00273109"/>
    <w:rsid w:val="0027668D"/>
    <w:rsid w:val="00276F19"/>
    <w:rsid w:val="002806B9"/>
    <w:rsid w:val="00281E8B"/>
    <w:rsid w:val="00282438"/>
    <w:rsid w:val="00282C8C"/>
    <w:rsid w:val="00283322"/>
    <w:rsid w:val="00283A63"/>
    <w:rsid w:val="00287DEC"/>
    <w:rsid w:val="00290B6A"/>
    <w:rsid w:val="00291C74"/>
    <w:rsid w:val="00291F23"/>
    <w:rsid w:val="0029232E"/>
    <w:rsid w:val="00292721"/>
    <w:rsid w:val="00294D74"/>
    <w:rsid w:val="002956F3"/>
    <w:rsid w:val="00296CC9"/>
    <w:rsid w:val="002A0A36"/>
    <w:rsid w:val="002A200D"/>
    <w:rsid w:val="002A203A"/>
    <w:rsid w:val="002A65E9"/>
    <w:rsid w:val="002A6E46"/>
    <w:rsid w:val="002A6FC3"/>
    <w:rsid w:val="002A7FCB"/>
    <w:rsid w:val="002B0CEC"/>
    <w:rsid w:val="002B2F80"/>
    <w:rsid w:val="002B38AD"/>
    <w:rsid w:val="002B3B31"/>
    <w:rsid w:val="002B413E"/>
    <w:rsid w:val="002B4BA6"/>
    <w:rsid w:val="002B5D01"/>
    <w:rsid w:val="002B5E1B"/>
    <w:rsid w:val="002B731F"/>
    <w:rsid w:val="002B77DC"/>
    <w:rsid w:val="002C000F"/>
    <w:rsid w:val="002C1AC5"/>
    <w:rsid w:val="002C3D8C"/>
    <w:rsid w:val="002C4359"/>
    <w:rsid w:val="002C4A63"/>
    <w:rsid w:val="002C687C"/>
    <w:rsid w:val="002C6FBE"/>
    <w:rsid w:val="002C73DF"/>
    <w:rsid w:val="002C7F20"/>
    <w:rsid w:val="002D014C"/>
    <w:rsid w:val="002D1241"/>
    <w:rsid w:val="002D3B48"/>
    <w:rsid w:val="002D4D47"/>
    <w:rsid w:val="002D5DA2"/>
    <w:rsid w:val="002D7115"/>
    <w:rsid w:val="002D7FB7"/>
    <w:rsid w:val="002E2358"/>
    <w:rsid w:val="002E3025"/>
    <w:rsid w:val="002E3F94"/>
    <w:rsid w:val="002E5CC5"/>
    <w:rsid w:val="002E610B"/>
    <w:rsid w:val="002E6A5E"/>
    <w:rsid w:val="002E7A94"/>
    <w:rsid w:val="002E7E63"/>
    <w:rsid w:val="002F0660"/>
    <w:rsid w:val="002F1F8A"/>
    <w:rsid w:val="002F335C"/>
    <w:rsid w:val="002F4E39"/>
    <w:rsid w:val="002F6DA5"/>
    <w:rsid w:val="002F74C5"/>
    <w:rsid w:val="002F7936"/>
    <w:rsid w:val="003008D2"/>
    <w:rsid w:val="00300928"/>
    <w:rsid w:val="00301094"/>
    <w:rsid w:val="00301F75"/>
    <w:rsid w:val="0030280E"/>
    <w:rsid w:val="00303066"/>
    <w:rsid w:val="00303E96"/>
    <w:rsid w:val="0030434D"/>
    <w:rsid w:val="00304763"/>
    <w:rsid w:val="00304E24"/>
    <w:rsid w:val="003056F4"/>
    <w:rsid w:val="003058DD"/>
    <w:rsid w:val="0030603A"/>
    <w:rsid w:val="00310615"/>
    <w:rsid w:val="003111FF"/>
    <w:rsid w:val="003112B4"/>
    <w:rsid w:val="00311898"/>
    <w:rsid w:val="00311DEA"/>
    <w:rsid w:val="0031280A"/>
    <w:rsid w:val="00313101"/>
    <w:rsid w:val="003141CA"/>
    <w:rsid w:val="00315348"/>
    <w:rsid w:val="00316A26"/>
    <w:rsid w:val="003208F8"/>
    <w:rsid w:val="003212FE"/>
    <w:rsid w:val="003222E7"/>
    <w:rsid w:val="00323011"/>
    <w:rsid w:val="00323657"/>
    <w:rsid w:val="00323802"/>
    <w:rsid w:val="0032532E"/>
    <w:rsid w:val="003269CC"/>
    <w:rsid w:val="00326A5A"/>
    <w:rsid w:val="00327D1F"/>
    <w:rsid w:val="00331B32"/>
    <w:rsid w:val="00333AF4"/>
    <w:rsid w:val="003340D9"/>
    <w:rsid w:val="003341D4"/>
    <w:rsid w:val="003350CF"/>
    <w:rsid w:val="003356B5"/>
    <w:rsid w:val="0033799C"/>
    <w:rsid w:val="00337B6F"/>
    <w:rsid w:val="00337DAC"/>
    <w:rsid w:val="00340739"/>
    <w:rsid w:val="0034089C"/>
    <w:rsid w:val="003409AD"/>
    <w:rsid w:val="0034105B"/>
    <w:rsid w:val="00341FEB"/>
    <w:rsid w:val="00342665"/>
    <w:rsid w:val="003450FD"/>
    <w:rsid w:val="003451CF"/>
    <w:rsid w:val="00347CBE"/>
    <w:rsid w:val="00347FAF"/>
    <w:rsid w:val="00350395"/>
    <w:rsid w:val="0035047D"/>
    <w:rsid w:val="0035130C"/>
    <w:rsid w:val="00351983"/>
    <w:rsid w:val="003521F6"/>
    <w:rsid w:val="00352BC8"/>
    <w:rsid w:val="0035556B"/>
    <w:rsid w:val="003563A6"/>
    <w:rsid w:val="00357628"/>
    <w:rsid w:val="0035794E"/>
    <w:rsid w:val="00361F6D"/>
    <w:rsid w:val="003622A5"/>
    <w:rsid w:val="00362A28"/>
    <w:rsid w:val="00364E1C"/>
    <w:rsid w:val="0036683F"/>
    <w:rsid w:val="00366A40"/>
    <w:rsid w:val="00366F9B"/>
    <w:rsid w:val="00367F43"/>
    <w:rsid w:val="00370605"/>
    <w:rsid w:val="00370A9E"/>
    <w:rsid w:val="00370EBF"/>
    <w:rsid w:val="003715CB"/>
    <w:rsid w:val="003717FF"/>
    <w:rsid w:val="00371A08"/>
    <w:rsid w:val="00371FF9"/>
    <w:rsid w:val="0037255A"/>
    <w:rsid w:val="00373A29"/>
    <w:rsid w:val="00374A2E"/>
    <w:rsid w:val="00375F15"/>
    <w:rsid w:val="00377201"/>
    <w:rsid w:val="00380411"/>
    <w:rsid w:val="0038092A"/>
    <w:rsid w:val="00383457"/>
    <w:rsid w:val="00383A04"/>
    <w:rsid w:val="00385AC7"/>
    <w:rsid w:val="0038609D"/>
    <w:rsid w:val="0039080C"/>
    <w:rsid w:val="00390838"/>
    <w:rsid w:val="003932E4"/>
    <w:rsid w:val="00393597"/>
    <w:rsid w:val="00393FB3"/>
    <w:rsid w:val="00394B15"/>
    <w:rsid w:val="003952BA"/>
    <w:rsid w:val="0039600D"/>
    <w:rsid w:val="00397CC0"/>
    <w:rsid w:val="003A0229"/>
    <w:rsid w:val="003A0268"/>
    <w:rsid w:val="003A0A1D"/>
    <w:rsid w:val="003A1373"/>
    <w:rsid w:val="003A1780"/>
    <w:rsid w:val="003A30BA"/>
    <w:rsid w:val="003A3C1C"/>
    <w:rsid w:val="003A4728"/>
    <w:rsid w:val="003A57B0"/>
    <w:rsid w:val="003A62AF"/>
    <w:rsid w:val="003A6BA6"/>
    <w:rsid w:val="003A7A22"/>
    <w:rsid w:val="003B0CF5"/>
    <w:rsid w:val="003B0E50"/>
    <w:rsid w:val="003B1782"/>
    <w:rsid w:val="003B298C"/>
    <w:rsid w:val="003B2D9E"/>
    <w:rsid w:val="003B3011"/>
    <w:rsid w:val="003B325E"/>
    <w:rsid w:val="003B3467"/>
    <w:rsid w:val="003B5122"/>
    <w:rsid w:val="003B57EA"/>
    <w:rsid w:val="003B675F"/>
    <w:rsid w:val="003B6961"/>
    <w:rsid w:val="003B69BD"/>
    <w:rsid w:val="003B6E87"/>
    <w:rsid w:val="003B6EF9"/>
    <w:rsid w:val="003C05E0"/>
    <w:rsid w:val="003C08AE"/>
    <w:rsid w:val="003C116A"/>
    <w:rsid w:val="003C4DC5"/>
    <w:rsid w:val="003C52BC"/>
    <w:rsid w:val="003C5CB0"/>
    <w:rsid w:val="003C62C9"/>
    <w:rsid w:val="003C72BB"/>
    <w:rsid w:val="003D2EB5"/>
    <w:rsid w:val="003D3022"/>
    <w:rsid w:val="003D365E"/>
    <w:rsid w:val="003D3CB8"/>
    <w:rsid w:val="003D4066"/>
    <w:rsid w:val="003D442F"/>
    <w:rsid w:val="003D4684"/>
    <w:rsid w:val="003D5744"/>
    <w:rsid w:val="003D71BF"/>
    <w:rsid w:val="003D739E"/>
    <w:rsid w:val="003E33DE"/>
    <w:rsid w:val="003E53AD"/>
    <w:rsid w:val="003E5C44"/>
    <w:rsid w:val="003E7C66"/>
    <w:rsid w:val="003E7F2C"/>
    <w:rsid w:val="003F1019"/>
    <w:rsid w:val="003F1A6F"/>
    <w:rsid w:val="003F1C93"/>
    <w:rsid w:val="003F1DCC"/>
    <w:rsid w:val="003F31E3"/>
    <w:rsid w:val="003F334B"/>
    <w:rsid w:val="003F5A4C"/>
    <w:rsid w:val="003F6570"/>
    <w:rsid w:val="003F7110"/>
    <w:rsid w:val="003F713A"/>
    <w:rsid w:val="003F7921"/>
    <w:rsid w:val="003F7B66"/>
    <w:rsid w:val="004009B5"/>
    <w:rsid w:val="00401FB3"/>
    <w:rsid w:val="0040209D"/>
    <w:rsid w:val="00402CFA"/>
    <w:rsid w:val="00402F9B"/>
    <w:rsid w:val="00404F18"/>
    <w:rsid w:val="00406218"/>
    <w:rsid w:val="00406991"/>
    <w:rsid w:val="0040720D"/>
    <w:rsid w:val="00407CE2"/>
    <w:rsid w:val="00410CA0"/>
    <w:rsid w:val="00411265"/>
    <w:rsid w:val="00412AD0"/>
    <w:rsid w:val="00412F27"/>
    <w:rsid w:val="00413525"/>
    <w:rsid w:val="00413DF7"/>
    <w:rsid w:val="0041692D"/>
    <w:rsid w:val="0041699C"/>
    <w:rsid w:val="00416DA9"/>
    <w:rsid w:val="004217B1"/>
    <w:rsid w:val="00421D18"/>
    <w:rsid w:val="00422F5A"/>
    <w:rsid w:val="00424DDA"/>
    <w:rsid w:val="00424F4D"/>
    <w:rsid w:val="00427B23"/>
    <w:rsid w:val="00430864"/>
    <w:rsid w:val="00431040"/>
    <w:rsid w:val="004322C4"/>
    <w:rsid w:val="00432427"/>
    <w:rsid w:val="004329FF"/>
    <w:rsid w:val="004334A9"/>
    <w:rsid w:val="00435406"/>
    <w:rsid w:val="00435F55"/>
    <w:rsid w:val="004364E7"/>
    <w:rsid w:val="00441150"/>
    <w:rsid w:val="00441976"/>
    <w:rsid w:val="00443969"/>
    <w:rsid w:val="00445BEC"/>
    <w:rsid w:val="00445E07"/>
    <w:rsid w:val="00445FD2"/>
    <w:rsid w:val="0044605B"/>
    <w:rsid w:val="00446C71"/>
    <w:rsid w:val="0044786A"/>
    <w:rsid w:val="00450A3A"/>
    <w:rsid w:val="00451319"/>
    <w:rsid w:val="00453660"/>
    <w:rsid w:val="00453E04"/>
    <w:rsid w:val="004550AC"/>
    <w:rsid w:val="00456921"/>
    <w:rsid w:val="00456A11"/>
    <w:rsid w:val="00460CE6"/>
    <w:rsid w:val="00461CF9"/>
    <w:rsid w:val="004635F2"/>
    <w:rsid w:val="00463DF0"/>
    <w:rsid w:val="0046458E"/>
    <w:rsid w:val="00464BA9"/>
    <w:rsid w:val="004658A5"/>
    <w:rsid w:val="0046597F"/>
    <w:rsid w:val="00465D68"/>
    <w:rsid w:val="0046655B"/>
    <w:rsid w:val="00467F02"/>
    <w:rsid w:val="00470639"/>
    <w:rsid w:val="00472DEB"/>
    <w:rsid w:val="0047332E"/>
    <w:rsid w:val="004759E8"/>
    <w:rsid w:val="00476034"/>
    <w:rsid w:val="004800F9"/>
    <w:rsid w:val="0048038F"/>
    <w:rsid w:val="00480FA4"/>
    <w:rsid w:val="004827F9"/>
    <w:rsid w:val="0048354C"/>
    <w:rsid w:val="0048467C"/>
    <w:rsid w:val="00485727"/>
    <w:rsid w:val="00485A86"/>
    <w:rsid w:val="00485BAD"/>
    <w:rsid w:val="00486C08"/>
    <w:rsid w:val="00490C86"/>
    <w:rsid w:val="00490E44"/>
    <w:rsid w:val="00491B6A"/>
    <w:rsid w:val="00494B11"/>
    <w:rsid w:val="0049564D"/>
    <w:rsid w:val="0049608D"/>
    <w:rsid w:val="004967DD"/>
    <w:rsid w:val="004A068C"/>
    <w:rsid w:val="004A0CA1"/>
    <w:rsid w:val="004A0D81"/>
    <w:rsid w:val="004A2402"/>
    <w:rsid w:val="004A2EAF"/>
    <w:rsid w:val="004A3B03"/>
    <w:rsid w:val="004A414F"/>
    <w:rsid w:val="004A487E"/>
    <w:rsid w:val="004A592A"/>
    <w:rsid w:val="004A65F4"/>
    <w:rsid w:val="004A79DE"/>
    <w:rsid w:val="004A7C29"/>
    <w:rsid w:val="004B0E22"/>
    <w:rsid w:val="004B19C0"/>
    <w:rsid w:val="004B1E71"/>
    <w:rsid w:val="004B24A7"/>
    <w:rsid w:val="004B37FE"/>
    <w:rsid w:val="004B3B1D"/>
    <w:rsid w:val="004B4B0E"/>
    <w:rsid w:val="004B50CD"/>
    <w:rsid w:val="004B5471"/>
    <w:rsid w:val="004B5DD7"/>
    <w:rsid w:val="004B5EDF"/>
    <w:rsid w:val="004B7331"/>
    <w:rsid w:val="004C0174"/>
    <w:rsid w:val="004C11FE"/>
    <w:rsid w:val="004C2F91"/>
    <w:rsid w:val="004C40AD"/>
    <w:rsid w:val="004C4A72"/>
    <w:rsid w:val="004C5F2F"/>
    <w:rsid w:val="004C638A"/>
    <w:rsid w:val="004D0D02"/>
    <w:rsid w:val="004D1C62"/>
    <w:rsid w:val="004D214C"/>
    <w:rsid w:val="004D2AB7"/>
    <w:rsid w:val="004D2D27"/>
    <w:rsid w:val="004D2DA3"/>
    <w:rsid w:val="004D3F9F"/>
    <w:rsid w:val="004D461C"/>
    <w:rsid w:val="004D5171"/>
    <w:rsid w:val="004D5BC0"/>
    <w:rsid w:val="004D7A95"/>
    <w:rsid w:val="004E06FC"/>
    <w:rsid w:val="004E08CF"/>
    <w:rsid w:val="004E1314"/>
    <w:rsid w:val="004E154A"/>
    <w:rsid w:val="004E380C"/>
    <w:rsid w:val="004E49F6"/>
    <w:rsid w:val="004E65CE"/>
    <w:rsid w:val="004E73E5"/>
    <w:rsid w:val="004E7D6C"/>
    <w:rsid w:val="004E7F4F"/>
    <w:rsid w:val="004F0540"/>
    <w:rsid w:val="004F0762"/>
    <w:rsid w:val="004F3382"/>
    <w:rsid w:val="004F5070"/>
    <w:rsid w:val="004F511D"/>
    <w:rsid w:val="004F573F"/>
    <w:rsid w:val="004F65A0"/>
    <w:rsid w:val="004F72B8"/>
    <w:rsid w:val="004F7367"/>
    <w:rsid w:val="004F7CE9"/>
    <w:rsid w:val="005018A9"/>
    <w:rsid w:val="005031D2"/>
    <w:rsid w:val="00503771"/>
    <w:rsid w:val="00503F42"/>
    <w:rsid w:val="00505974"/>
    <w:rsid w:val="00506220"/>
    <w:rsid w:val="0050624A"/>
    <w:rsid w:val="005064F0"/>
    <w:rsid w:val="00507893"/>
    <w:rsid w:val="005112DF"/>
    <w:rsid w:val="005113F9"/>
    <w:rsid w:val="005114E3"/>
    <w:rsid w:val="0051176C"/>
    <w:rsid w:val="00513536"/>
    <w:rsid w:val="005135A4"/>
    <w:rsid w:val="00513C41"/>
    <w:rsid w:val="00515441"/>
    <w:rsid w:val="00516514"/>
    <w:rsid w:val="005178FB"/>
    <w:rsid w:val="00520E67"/>
    <w:rsid w:val="00521016"/>
    <w:rsid w:val="00521D4F"/>
    <w:rsid w:val="0052235A"/>
    <w:rsid w:val="00522FA2"/>
    <w:rsid w:val="00523383"/>
    <w:rsid w:val="005234F8"/>
    <w:rsid w:val="005236CA"/>
    <w:rsid w:val="005241FB"/>
    <w:rsid w:val="0052520C"/>
    <w:rsid w:val="005318B4"/>
    <w:rsid w:val="00531EB6"/>
    <w:rsid w:val="00532F0A"/>
    <w:rsid w:val="00533E51"/>
    <w:rsid w:val="00535A06"/>
    <w:rsid w:val="00535DFB"/>
    <w:rsid w:val="00535FAC"/>
    <w:rsid w:val="00541557"/>
    <w:rsid w:val="00542880"/>
    <w:rsid w:val="00543ABE"/>
    <w:rsid w:val="00544009"/>
    <w:rsid w:val="00544A76"/>
    <w:rsid w:val="00545FEB"/>
    <w:rsid w:val="005463ED"/>
    <w:rsid w:val="005468C1"/>
    <w:rsid w:val="00550AAA"/>
    <w:rsid w:val="00551073"/>
    <w:rsid w:val="00551520"/>
    <w:rsid w:val="00553331"/>
    <w:rsid w:val="005543C5"/>
    <w:rsid w:val="005552E0"/>
    <w:rsid w:val="0055698E"/>
    <w:rsid w:val="00561761"/>
    <w:rsid w:val="00561BF1"/>
    <w:rsid w:val="005640DF"/>
    <w:rsid w:val="005644C7"/>
    <w:rsid w:val="00564A4C"/>
    <w:rsid w:val="00564E1F"/>
    <w:rsid w:val="00565806"/>
    <w:rsid w:val="00565E46"/>
    <w:rsid w:val="005708E5"/>
    <w:rsid w:val="00570C56"/>
    <w:rsid w:val="00575068"/>
    <w:rsid w:val="0057560B"/>
    <w:rsid w:val="005768B6"/>
    <w:rsid w:val="00576FAB"/>
    <w:rsid w:val="00577461"/>
    <w:rsid w:val="00581D68"/>
    <w:rsid w:val="005858FF"/>
    <w:rsid w:val="00586DAF"/>
    <w:rsid w:val="0059012C"/>
    <w:rsid w:val="00590AC3"/>
    <w:rsid w:val="00592194"/>
    <w:rsid w:val="005937D5"/>
    <w:rsid w:val="00593B7F"/>
    <w:rsid w:val="005952CE"/>
    <w:rsid w:val="00595519"/>
    <w:rsid w:val="00596734"/>
    <w:rsid w:val="00596981"/>
    <w:rsid w:val="00596D38"/>
    <w:rsid w:val="00596FCB"/>
    <w:rsid w:val="00597619"/>
    <w:rsid w:val="005A0044"/>
    <w:rsid w:val="005A1262"/>
    <w:rsid w:val="005A1548"/>
    <w:rsid w:val="005A2C6F"/>
    <w:rsid w:val="005A2CC5"/>
    <w:rsid w:val="005A3A9B"/>
    <w:rsid w:val="005A42D6"/>
    <w:rsid w:val="005A485E"/>
    <w:rsid w:val="005A4A9F"/>
    <w:rsid w:val="005A4FB8"/>
    <w:rsid w:val="005A57BD"/>
    <w:rsid w:val="005A6048"/>
    <w:rsid w:val="005A690E"/>
    <w:rsid w:val="005B1912"/>
    <w:rsid w:val="005B1D5E"/>
    <w:rsid w:val="005B404B"/>
    <w:rsid w:val="005B495C"/>
    <w:rsid w:val="005B4D96"/>
    <w:rsid w:val="005B564B"/>
    <w:rsid w:val="005B57AB"/>
    <w:rsid w:val="005B6D45"/>
    <w:rsid w:val="005C1DFA"/>
    <w:rsid w:val="005C22A6"/>
    <w:rsid w:val="005C2751"/>
    <w:rsid w:val="005C450C"/>
    <w:rsid w:val="005C49B1"/>
    <w:rsid w:val="005C4CBF"/>
    <w:rsid w:val="005C4D36"/>
    <w:rsid w:val="005C5442"/>
    <w:rsid w:val="005D07E9"/>
    <w:rsid w:val="005D0A8D"/>
    <w:rsid w:val="005D1323"/>
    <w:rsid w:val="005D1953"/>
    <w:rsid w:val="005D2CA9"/>
    <w:rsid w:val="005D3A46"/>
    <w:rsid w:val="005D3A68"/>
    <w:rsid w:val="005D4989"/>
    <w:rsid w:val="005D4F18"/>
    <w:rsid w:val="005D675D"/>
    <w:rsid w:val="005E0661"/>
    <w:rsid w:val="005E1CE4"/>
    <w:rsid w:val="005E337B"/>
    <w:rsid w:val="005E3417"/>
    <w:rsid w:val="005E3728"/>
    <w:rsid w:val="005E45EC"/>
    <w:rsid w:val="005E543D"/>
    <w:rsid w:val="005E5DA3"/>
    <w:rsid w:val="005E7322"/>
    <w:rsid w:val="005E7545"/>
    <w:rsid w:val="005F1659"/>
    <w:rsid w:val="005F17F6"/>
    <w:rsid w:val="005F188C"/>
    <w:rsid w:val="005F1D47"/>
    <w:rsid w:val="005F357C"/>
    <w:rsid w:val="005F3A56"/>
    <w:rsid w:val="005F4098"/>
    <w:rsid w:val="005F4526"/>
    <w:rsid w:val="005F5244"/>
    <w:rsid w:val="005F52CE"/>
    <w:rsid w:val="005F544F"/>
    <w:rsid w:val="005F6499"/>
    <w:rsid w:val="005F64AA"/>
    <w:rsid w:val="005F65F3"/>
    <w:rsid w:val="005F772E"/>
    <w:rsid w:val="00600873"/>
    <w:rsid w:val="00602928"/>
    <w:rsid w:val="00603132"/>
    <w:rsid w:val="00603145"/>
    <w:rsid w:val="00603B33"/>
    <w:rsid w:val="00604741"/>
    <w:rsid w:val="0060478F"/>
    <w:rsid w:val="006070E7"/>
    <w:rsid w:val="00610940"/>
    <w:rsid w:val="006115A0"/>
    <w:rsid w:val="00611C48"/>
    <w:rsid w:val="006120B8"/>
    <w:rsid w:val="00613403"/>
    <w:rsid w:val="0061351D"/>
    <w:rsid w:val="00615CD4"/>
    <w:rsid w:val="00617603"/>
    <w:rsid w:val="00621B52"/>
    <w:rsid w:val="00621E3B"/>
    <w:rsid w:val="0062200D"/>
    <w:rsid w:val="00623772"/>
    <w:rsid w:val="00626B8D"/>
    <w:rsid w:val="00630F38"/>
    <w:rsid w:val="0063151F"/>
    <w:rsid w:val="00631E77"/>
    <w:rsid w:val="00632CF1"/>
    <w:rsid w:val="00632D18"/>
    <w:rsid w:val="006347DA"/>
    <w:rsid w:val="00634CD5"/>
    <w:rsid w:val="006362F4"/>
    <w:rsid w:val="00637FEF"/>
    <w:rsid w:val="0064018E"/>
    <w:rsid w:val="00642729"/>
    <w:rsid w:val="00642C4A"/>
    <w:rsid w:val="0064372C"/>
    <w:rsid w:val="006449F5"/>
    <w:rsid w:val="00644E2E"/>
    <w:rsid w:val="006468BC"/>
    <w:rsid w:val="00646B72"/>
    <w:rsid w:val="00647A52"/>
    <w:rsid w:val="0065113F"/>
    <w:rsid w:val="00652C96"/>
    <w:rsid w:val="00653949"/>
    <w:rsid w:val="00653C6C"/>
    <w:rsid w:val="006546F7"/>
    <w:rsid w:val="00654EDE"/>
    <w:rsid w:val="006557EA"/>
    <w:rsid w:val="00656CC0"/>
    <w:rsid w:val="006602A0"/>
    <w:rsid w:val="00660837"/>
    <w:rsid w:val="00663F5F"/>
    <w:rsid w:val="0066428B"/>
    <w:rsid w:val="006644CA"/>
    <w:rsid w:val="00664B27"/>
    <w:rsid w:val="00664FED"/>
    <w:rsid w:val="00665466"/>
    <w:rsid w:val="00665A2F"/>
    <w:rsid w:val="00665AB4"/>
    <w:rsid w:val="0066607A"/>
    <w:rsid w:val="006663E8"/>
    <w:rsid w:val="0066654C"/>
    <w:rsid w:val="00666717"/>
    <w:rsid w:val="00667CC1"/>
    <w:rsid w:val="00670261"/>
    <w:rsid w:val="0067119E"/>
    <w:rsid w:val="006713BD"/>
    <w:rsid w:val="00671F4F"/>
    <w:rsid w:val="006720B6"/>
    <w:rsid w:val="006738AB"/>
    <w:rsid w:val="00674E09"/>
    <w:rsid w:val="00675860"/>
    <w:rsid w:val="00677210"/>
    <w:rsid w:val="006772B2"/>
    <w:rsid w:val="006776C3"/>
    <w:rsid w:val="00677F6B"/>
    <w:rsid w:val="00680EBD"/>
    <w:rsid w:val="006819A4"/>
    <w:rsid w:val="00681AFE"/>
    <w:rsid w:val="00684A13"/>
    <w:rsid w:val="006853C6"/>
    <w:rsid w:val="00686CEB"/>
    <w:rsid w:val="0068709A"/>
    <w:rsid w:val="00687A69"/>
    <w:rsid w:val="00692AB4"/>
    <w:rsid w:val="006934CE"/>
    <w:rsid w:val="00693B65"/>
    <w:rsid w:val="00695161"/>
    <w:rsid w:val="0069540B"/>
    <w:rsid w:val="006964FF"/>
    <w:rsid w:val="006A0810"/>
    <w:rsid w:val="006A1155"/>
    <w:rsid w:val="006A18D3"/>
    <w:rsid w:val="006A2B9C"/>
    <w:rsid w:val="006A3524"/>
    <w:rsid w:val="006A5325"/>
    <w:rsid w:val="006A718B"/>
    <w:rsid w:val="006B0D02"/>
    <w:rsid w:val="006B13A9"/>
    <w:rsid w:val="006B16F4"/>
    <w:rsid w:val="006B3296"/>
    <w:rsid w:val="006B39C5"/>
    <w:rsid w:val="006B40BF"/>
    <w:rsid w:val="006B40C9"/>
    <w:rsid w:val="006B443C"/>
    <w:rsid w:val="006B54EF"/>
    <w:rsid w:val="006B5843"/>
    <w:rsid w:val="006B59F4"/>
    <w:rsid w:val="006B66B0"/>
    <w:rsid w:val="006B6B73"/>
    <w:rsid w:val="006C0432"/>
    <w:rsid w:val="006C1314"/>
    <w:rsid w:val="006C18BB"/>
    <w:rsid w:val="006C364F"/>
    <w:rsid w:val="006C3665"/>
    <w:rsid w:val="006C732A"/>
    <w:rsid w:val="006C7880"/>
    <w:rsid w:val="006C7D53"/>
    <w:rsid w:val="006D018A"/>
    <w:rsid w:val="006D24DB"/>
    <w:rsid w:val="006D2E11"/>
    <w:rsid w:val="006D3A75"/>
    <w:rsid w:val="006D4351"/>
    <w:rsid w:val="006D58B5"/>
    <w:rsid w:val="006D6D0B"/>
    <w:rsid w:val="006D6EC6"/>
    <w:rsid w:val="006D79AC"/>
    <w:rsid w:val="006D7D4B"/>
    <w:rsid w:val="006E04EA"/>
    <w:rsid w:val="006E1EAC"/>
    <w:rsid w:val="006E26AF"/>
    <w:rsid w:val="006E41E9"/>
    <w:rsid w:val="006E42DB"/>
    <w:rsid w:val="006E4B8F"/>
    <w:rsid w:val="006E50CF"/>
    <w:rsid w:val="006E57B5"/>
    <w:rsid w:val="006E60EF"/>
    <w:rsid w:val="006F100E"/>
    <w:rsid w:val="006F101D"/>
    <w:rsid w:val="006F1BB7"/>
    <w:rsid w:val="006F3165"/>
    <w:rsid w:val="006F49AF"/>
    <w:rsid w:val="006F4D1E"/>
    <w:rsid w:val="006F5350"/>
    <w:rsid w:val="006F5624"/>
    <w:rsid w:val="006F5BF7"/>
    <w:rsid w:val="006F6646"/>
    <w:rsid w:val="006F7959"/>
    <w:rsid w:val="007001F1"/>
    <w:rsid w:val="00700672"/>
    <w:rsid w:val="0070086F"/>
    <w:rsid w:val="0070133F"/>
    <w:rsid w:val="0070160A"/>
    <w:rsid w:val="007018EA"/>
    <w:rsid w:val="00701A1B"/>
    <w:rsid w:val="00702015"/>
    <w:rsid w:val="00702924"/>
    <w:rsid w:val="00703617"/>
    <w:rsid w:val="007045FD"/>
    <w:rsid w:val="0070474F"/>
    <w:rsid w:val="00704E2D"/>
    <w:rsid w:val="00706B0D"/>
    <w:rsid w:val="00707628"/>
    <w:rsid w:val="00707997"/>
    <w:rsid w:val="00710D00"/>
    <w:rsid w:val="0071111B"/>
    <w:rsid w:val="00711C84"/>
    <w:rsid w:val="007121D6"/>
    <w:rsid w:val="0071225C"/>
    <w:rsid w:val="007123F7"/>
    <w:rsid w:val="00712FBA"/>
    <w:rsid w:val="007134A9"/>
    <w:rsid w:val="007141ED"/>
    <w:rsid w:val="0071433F"/>
    <w:rsid w:val="007162A8"/>
    <w:rsid w:val="0071771E"/>
    <w:rsid w:val="00721572"/>
    <w:rsid w:val="0072188D"/>
    <w:rsid w:val="0072220F"/>
    <w:rsid w:val="0072368A"/>
    <w:rsid w:val="00723852"/>
    <w:rsid w:val="00725CC2"/>
    <w:rsid w:val="00725E6B"/>
    <w:rsid w:val="0072683E"/>
    <w:rsid w:val="00727A71"/>
    <w:rsid w:val="00727E1E"/>
    <w:rsid w:val="00731EE8"/>
    <w:rsid w:val="00732546"/>
    <w:rsid w:val="007353CF"/>
    <w:rsid w:val="00735ED3"/>
    <w:rsid w:val="00737098"/>
    <w:rsid w:val="00737DFE"/>
    <w:rsid w:val="00742741"/>
    <w:rsid w:val="00743EFF"/>
    <w:rsid w:val="0074432E"/>
    <w:rsid w:val="0074473B"/>
    <w:rsid w:val="0074503D"/>
    <w:rsid w:val="00746B2D"/>
    <w:rsid w:val="00746CDE"/>
    <w:rsid w:val="007471F7"/>
    <w:rsid w:val="0074726F"/>
    <w:rsid w:val="007476BF"/>
    <w:rsid w:val="00747770"/>
    <w:rsid w:val="0074777B"/>
    <w:rsid w:val="00747BDE"/>
    <w:rsid w:val="00750015"/>
    <w:rsid w:val="00750CD8"/>
    <w:rsid w:val="00752AF5"/>
    <w:rsid w:val="00753196"/>
    <w:rsid w:val="0075674F"/>
    <w:rsid w:val="00756AF1"/>
    <w:rsid w:val="00756CCB"/>
    <w:rsid w:val="00757E4B"/>
    <w:rsid w:val="00760098"/>
    <w:rsid w:val="00761071"/>
    <w:rsid w:val="007619E2"/>
    <w:rsid w:val="00763043"/>
    <w:rsid w:val="00763916"/>
    <w:rsid w:val="0076547D"/>
    <w:rsid w:val="00766C1B"/>
    <w:rsid w:val="00767651"/>
    <w:rsid w:val="00770251"/>
    <w:rsid w:val="007709A6"/>
    <w:rsid w:val="00771972"/>
    <w:rsid w:val="007738B9"/>
    <w:rsid w:val="00773ECF"/>
    <w:rsid w:val="0077497C"/>
    <w:rsid w:val="00775A3D"/>
    <w:rsid w:val="00775DB6"/>
    <w:rsid w:val="00780115"/>
    <w:rsid w:val="00780E75"/>
    <w:rsid w:val="00781943"/>
    <w:rsid w:val="00783484"/>
    <w:rsid w:val="007850BB"/>
    <w:rsid w:val="0078551B"/>
    <w:rsid w:val="00785EEF"/>
    <w:rsid w:val="0078621F"/>
    <w:rsid w:val="00786532"/>
    <w:rsid w:val="00786772"/>
    <w:rsid w:val="00786F98"/>
    <w:rsid w:val="007878FC"/>
    <w:rsid w:val="0079061F"/>
    <w:rsid w:val="00792591"/>
    <w:rsid w:val="0079337D"/>
    <w:rsid w:val="00793AA8"/>
    <w:rsid w:val="00794258"/>
    <w:rsid w:val="007958B2"/>
    <w:rsid w:val="00795E54"/>
    <w:rsid w:val="0079627D"/>
    <w:rsid w:val="00796294"/>
    <w:rsid w:val="00796BAC"/>
    <w:rsid w:val="00796BB7"/>
    <w:rsid w:val="00797CB2"/>
    <w:rsid w:val="007A01F2"/>
    <w:rsid w:val="007A061F"/>
    <w:rsid w:val="007A0937"/>
    <w:rsid w:val="007A2CEF"/>
    <w:rsid w:val="007A3651"/>
    <w:rsid w:val="007A3D4C"/>
    <w:rsid w:val="007A47CC"/>
    <w:rsid w:val="007A5BFD"/>
    <w:rsid w:val="007A71DE"/>
    <w:rsid w:val="007B12F7"/>
    <w:rsid w:val="007B26C7"/>
    <w:rsid w:val="007B27BE"/>
    <w:rsid w:val="007B29CB"/>
    <w:rsid w:val="007B2F4F"/>
    <w:rsid w:val="007B3855"/>
    <w:rsid w:val="007B5F63"/>
    <w:rsid w:val="007B6311"/>
    <w:rsid w:val="007B6AB5"/>
    <w:rsid w:val="007B7DF7"/>
    <w:rsid w:val="007C122B"/>
    <w:rsid w:val="007C27BC"/>
    <w:rsid w:val="007C2CD0"/>
    <w:rsid w:val="007C3F37"/>
    <w:rsid w:val="007C57D1"/>
    <w:rsid w:val="007C6125"/>
    <w:rsid w:val="007C677C"/>
    <w:rsid w:val="007C6840"/>
    <w:rsid w:val="007C7ED9"/>
    <w:rsid w:val="007C7FE8"/>
    <w:rsid w:val="007D19D4"/>
    <w:rsid w:val="007D2507"/>
    <w:rsid w:val="007D26E2"/>
    <w:rsid w:val="007D3799"/>
    <w:rsid w:val="007D4C4C"/>
    <w:rsid w:val="007D4F8C"/>
    <w:rsid w:val="007D5FE8"/>
    <w:rsid w:val="007D6B49"/>
    <w:rsid w:val="007E0AF2"/>
    <w:rsid w:val="007E3277"/>
    <w:rsid w:val="007E3BB1"/>
    <w:rsid w:val="007E3F6E"/>
    <w:rsid w:val="007E509D"/>
    <w:rsid w:val="007E6B0B"/>
    <w:rsid w:val="007E6DA6"/>
    <w:rsid w:val="007F04DE"/>
    <w:rsid w:val="007F0F97"/>
    <w:rsid w:val="007F1DD4"/>
    <w:rsid w:val="007F22D5"/>
    <w:rsid w:val="007F2D12"/>
    <w:rsid w:val="007F3574"/>
    <w:rsid w:val="007F3682"/>
    <w:rsid w:val="007F372C"/>
    <w:rsid w:val="007F569E"/>
    <w:rsid w:val="007F5BA4"/>
    <w:rsid w:val="007F5E0B"/>
    <w:rsid w:val="007F79CC"/>
    <w:rsid w:val="007F7D5B"/>
    <w:rsid w:val="008004DD"/>
    <w:rsid w:val="00800E39"/>
    <w:rsid w:val="008028E2"/>
    <w:rsid w:val="00802F66"/>
    <w:rsid w:val="008034D4"/>
    <w:rsid w:val="00803ABA"/>
    <w:rsid w:val="00803AF0"/>
    <w:rsid w:val="008041F5"/>
    <w:rsid w:val="00804675"/>
    <w:rsid w:val="00806BAD"/>
    <w:rsid w:val="00810542"/>
    <w:rsid w:val="008105B2"/>
    <w:rsid w:val="00811222"/>
    <w:rsid w:val="008113D2"/>
    <w:rsid w:val="00813A09"/>
    <w:rsid w:val="00813FCE"/>
    <w:rsid w:val="00814B1B"/>
    <w:rsid w:val="00815085"/>
    <w:rsid w:val="008151C3"/>
    <w:rsid w:val="0081598E"/>
    <w:rsid w:val="00816DF3"/>
    <w:rsid w:val="0081762F"/>
    <w:rsid w:val="00817ABF"/>
    <w:rsid w:val="008224FD"/>
    <w:rsid w:val="00822D17"/>
    <w:rsid w:val="0082345D"/>
    <w:rsid w:val="008238F0"/>
    <w:rsid w:val="0082464B"/>
    <w:rsid w:val="00824B87"/>
    <w:rsid w:val="008263D1"/>
    <w:rsid w:val="008270FF"/>
    <w:rsid w:val="008271CF"/>
    <w:rsid w:val="00827733"/>
    <w:rsid w:val="0082786C"/>
    <w:rsid w:val="0083007E"/>
    <w:rsid w:val="00832399"/>
    <w:rsid w:val="008344B1"/>
    <w:rsid w:val="008352A9"/>
    <w:rsid w:val="008355EC"/>
    <w:rsid w:val="00836748"/>
    <w:rsid w:val="00836CD5"/>
    <w:rsid w:val="00837516"/>
    <w:rsid w:val="00837D18"/>
    <w:rsid w:val="00841252"/>
    <w:rsid w:val="008415FD"/>
    <w:rsid w:val="00841F4A"/>
    <w:rsid w:val="008421DC"/>
    <w:rsid w:val="008425DB"/>
    <w:rsid w:val="008425FB"/>
    <w:rsid w:val="008432F1"/>
    <w:rsid w:val="00843411"/>
    <w:rsid w:val="0084373C"/>
    <w:rsid w:val="00843A40"/>
    <w:rsid w:val="008443A8"/>
    <w:rsid w:val="00844962"/>
    <w:rsid w:val="00844DDB"/>
    <w:rsid w:val="008463A3"/>
    <w:rsid w:val="00847944"/>
    <w:rsid w:val="00850778"/>
    <w:rsid w:val="0085084B"/>
    <w:rsid w:val="00850C09"/>
    <w:rsid w:val="00851C5B"/>
    <w:rsid w:val="00851E15"/>
    <w:rsid w:val="0085211A"/>
    <w:rsid w:val="008521CE"/>
    <w:rsid w:val="00852DBF"/>
    <w:rsid w:val="00852EC3"/>
    <w:rsid w:val="00853546"/>
    <w:rsid w:val="0085481D"/>
    <w:rsid w:val="0085562E"/>
    <w:rsid w:val="00855E46"/>
    <w:rsid w:val="0085743E"/>
    <w:rsid w:val="00857710"/>
    <w:rsid w:val="00860681"/>
    <w:rsid w:val="008617CB"/>
    <w:rsid w:val="008620D8"/>
    <w:rsid w:val="00863BF7"/>
    <w:rsid w:val="00864174"/>
    <w:rsid w:val="00864437"/>
    <w:rsid w:val="008646B4"/>
    <w:rsid w:val="00864D3F"/>
    <w:rsid w:val="00864E85"/>
    <w:rsid w:val="008654A4"/>
    <w:rsid w:val="00866BE8"/>
    <w:rsid w:val="008671DA"/>
    <w:rsid w:val="00870D40"/>
    <w:rsid w:val="008717D1"/>
    <w:rsid w:val="00872844"/>
    <w:rsid w:val="008734CE"/>
    <w:rsid w:val="00874B81"/>
    <w:rsid w:val="0087523B"/>
    <w:rsid w:val="00876104"/>
    <w:rsid w:val="00876881"/>
    <w:rsid w:val="008777A5"/>
    <w:rsid w:val="00877EEC"/>
    <w:rsid w:val="008810E6"/>
    <w:rsid w:val="008815D9"/>
    <w:rsid w:val="00881F8F"/>
    <w:rsid w:val="0088358A"/>
    <w:rsid w:val="00883A8C"/>
    <w:rsid w:val="00883C73"/>
    <w:rsid w:val="00891521"/>
    <w:rsid w:val="00893FF9"/>
    <w:rsid w:val="00894E73"/>
    <w:rsid w:val="00895155"/>
    <w:rsid w:val="0089545B"/>
    <w:rsid w:val="00895980"/>
    <w:rsid w:val="008963DD"/>
    <w:rsid w:val="008973F6"/>
    <w:rsid w:val="008A27C0"/>
    <w:rsid w:val="008A33C7"/>
    <w:rsid w:val="008A4454"/>
    <w:rsid w:val="008A606E"/>
    <w:rsid w:val="008A7027"/>
    <w:rsid w:val="008A74D9"/>
    <w:rsid w:val="008B072B"/>
    <w:rsid w:val="008B07A7"/>
    <w:rsid w:val="008B1A71"/>
    <w:rsid w:val="008B22C4"/>
    <w:rsid w:val="008B3D8F"/>
    <w:rsid w:val="008B5060"/>
    <w:rsid w:val="008B520E"/>
    <w:rsid w:val="008B5305"/>
    <w:rsid w:val="008C166A"/>
    <w:rsid w:val="008C21F7"/>
    <w:rsid w:val="008C2708"/>
    <w:rsid w:val="008C284F"/>
    <w:rsid w:val="008C4411"/>
    <w:rsid w:val="008C4D0B"/>
    <w:rsid w:val="008C7616"/>
    <w:rsid w:val="008C7848"/>
    <w:rsid w:val="008C7CA3"/>
    <w:rsid w:val="008C7E47"/>
    <w:rsid w:val="008D25DE"/>
    <w:rsid w:val="008D2B48"/>
    <w:rsid w:val="008D420D"/>
    <w:rsid w:val="008D4609"/>
    <w:rsid w:val="008D4898"/>
    <w:rsid w:val="008D48B9"/>
    <w:rsid w:val="008D5198"/>
    <w:rsid w:val="008D5648"/>
    <w:rsid w:val="008D674A"/>
    <w:rsid w:val="008D7047"/>
    <w:rsid w:val="008D7119"/>
    <w:rsid w:val="008E0C97"/>
    <w:rsid w:val="008E1926"/>
    <w:rsid w:val="008E2DE9"/>
    <w:rsid w:val="008E3879"/>
    <w:rsid w:val="008E7448"/>
    <w:rsid w:val="008F249C"/>
    <w:rsid w:val="008F325E"/>
    <w:rsid w:val="008F37DE"/>
    <w:rsid w:val="008F6E5F"/>
    <w:rsid w:val="008F741F"/>
    <w:rsid w:val="008F74EF"/>
    <w:rsid w:val="008F7F54"/>
    <w:rsid w:val="0090075E"/>
    <w:rsid w:val="0090101F"/>
    <w:rsid w:val="00901CFB"/>
    <w:rsid w:val="00902897"/>
    <w:rsid w:val="009031D2"/>
    <w:rsid w:val="0090418E"/>
    <w:rsid w:val="009044FA"/>
    <w:rsid w:val="009053E0"/>
    <w:rsid w:val="00905548"/>
    <w:rsid w:val="0090624B"/>
    <w:rsid w:val="009064CB"/>
    <w:rsid w:val="009076FE"/>
    <w:rsid w:val="0091086A"/>
    <w:rsid w:val="00910B68"/>
    <w:rsid w:val="00910BE5"/>
    <w:rsid w:val="00910DC3"/>
    <w:rsid w:val="009118E4"/>
    <w:rsid w:val="00911D43"/>
    <w:rsid w:val="00911F10"/>
    <w:rsid w:val="009122EB"/>
    <w:rsid w:val="0091274E"/>
    <w:rsid w:val="0091288E"/>
    <w:rsid w:val="00912C44"/>
    <w:rsid w:val="0091367C"/>
    <w:rsid w:val="00913815"/>
    <w:rsid w:val="00913AB4"/>
    <w:rsid w:val="00913EC0"/>
    <w:rsid w:val="00914D81"/>
    <w:rsid w:val="009157E9"/>
    <w:rsid w:val="00916958"/>
    <w:rsid w:val="009174F4"/>
    <w:rsid w:val="0091768D"/>
    <w:rsid w:val="00917EF4"/>
    <w:rsid w:val="0092025B"/>
    <w:rsid w:val="00920ED3"/>
    <w:rsid w:val="009210CC"/>
    <w:rsid w:val="009223B1"/>
    <w:rsid w:val="00922C6E"/>
    <w:rsid w:val="00923202"/>
    <w:rsid w:val="00923376"/>
    <w:rsid w:val="009236D2"/>
    <w:rsid w:val="00923B3B"/>
    <w:rsid w:val="009264DC"/>
    <w:rsid w:val="00926879"/>
    <w:rsid w:val="00926F36"/>
    <w:rsid w:val="00930595"/>
    <w:rsid w:val="009309B0"/>
    <w:rsid w:val="00931C61"/>
    <w:rsid w:val="00933714"/>
    <w:rsid w:val="00934234"/>
    <w:rsid w:val="00934C22"/>
    <w:rsid w:val="00934E17"/>
    <w:rsid w:val="009359BB"/>
    <w:rsid w:val="00935DA5"/>
    <w:rsid w:val="00936275"/>
    <w:rsid w:val="009369DD"/>
    <w:rsid w:val="009370A7"/>
    <w:rsid w:val="00937D4C"/>
    <w:rsid w:val="00941505"/>
    <w:rsid w:val="00942CED"/>
    <w:rsid w:val="00943B14"/>
    <w:rsid w:val="00944FAD"/>
    <w:rsid w:val="00946445"/>
    <w:rsid w:val="00947841"/>
    <w:rsid w:val="00947B6E"/>
    <w:rsid w:val="009502BF"/>
    <w:rsid w:val="0095248D"/>
    <w:rsid w:val="00954CB4"/>
    <w:rsid w:val="00954F99"/>
    <w:rsid w:val="009551DC"/>
    <w:rsid w:val="0095540E"/>
    <w:rsid w:val="00955835"/>
    <w:rsid w:val="00955869"/>
    <w:rsid w:val="00955966"/>
    <w:rsid w:val="00955B79"/>
    <w:rsid w:val="00955D7D"/>
    <w:rsid w:val="00955DF5"/>
    <w:rsid w:val="00956870"/>
    <w:rsid w:val="00961000"/>
    <w:rsid w:val="00962A6F"/>
    <w:rsid w:val="00964183"/>
    <w:rsid w:val="00964E44"/>
    <w:rsid w:val="00965CA6"/>
    <w:rsid w:val="009662FB"/>
    <w:rsid w:val="00970A85"/>
    <w:rsid w:val="009712C8"/>
    <w:rsid w:val="00971740"/>
    <w:rsid w:val="00971BA1"/>
    <w:rsid w:val="00971DE9"/>
    <w:rsid w:val="00972C0D"/>
    <w:rsid w:val="00973141"/>
    <w:rsid w:val="00973929"/>
    <w:rsid w:val="009739FE"/>
    <w:rsid w:val="009750F1"/>
    <w:rsid w:val="00977088"/>
    <w:rsid w:val="009776A0"/>
    <w:rsid w:val="00980142"/>
    <w:rsid w:val="00980C78"/>
    <w:rsid w:val="0098156A"/>
    <w:rsid w:val="00981D83"/>
    <w:rsid w:val="009842B7"/>
    <w:rsid w:val="00985DEE"/>
    <w:rsid w:val="00985EAF"/>
    <w:rsid w:val="00986D9B"/>
    <w:rsid w:val="00987B59"/>
    <w:rsid w:val="00987CF5"/>
    <w:rsid w:val="00990556"/>
    <w:rsid w:val="00990BF9"/>
    <w:rsid w:val="00990C56"/>
    <w:rsid w:val="00994600"/>
    <w:rsid w:val="00995329"/>
    <w:rsid w:val="00995EE8"/>
    <w:rsid w:val="00995F99"/>
    <w:rsid w:val="009A0FCA"/>
    <w:rsid w:val="009A1ABA"/>
    <w:rsid w:val="009A4B90"/>
    <w:rsid w:val="009A7DC5"/>
    <w:rsid w:val="009B179B"/>
    <w:rsid w:val="009B1B55"/>
    <w:rsid w:val="009B22D2"/>
    <w:rsid w:val="009B3120"/>
    <w:rsid w:val="009B3D3E"/>
    <w:rsid w:val="009B4125"/>
    <w:rsid w:val="009B49A5"/>
    <w:rsid w:val="009B4BC3"/>
    <w:rsid w:val="009B5169"/>
    <w:rsid w:val="009B5B59"/>
    <w:rsid w:val="009B5F13"/>
    <w:rsid w:val="009B6B6D"/>
    <w:rsid w:val="009B75F9"/>
    <w:rsid w:val="009B7626"/>
    <w:rsid w:val="009C1168"/>
    <w:rsid w:val="009C17CF"/>
    <w:rsid w:val="009C220C"/>
    <w:rsid w:val="009C3DE8"/>
    <w:rsid w:val="009C7E28"/>
    <w:rsid w:val="009C7EDF"/>
    <w:rsid w:val="009C7F50"/>
    <w:rsid w:val="009D26BC"/>
    <w:rsid w:val="009D34E5"/>
    <w:rsid w:val="009D47CC"/>
    <w:rsid w:val="009D60E7"/>
    <w:rsid w:val="009D6515"/>
    <w:rsid w:val="009D7259"/>
    <w:rsid w:val="009D76FA"/>
    <w:rsid w:val="009D7747"/>
    <w:rsid w:val="009E0919"/>
    <w:rsid w:val="009E0D0A"/>
    <w:rsid w:val="009E1A19"/>
    <w:rsid w:val="009E20FE"/>
    <w:rsid w:val="009E34CE"/>
    <w:rsid w:val="009E3CB4"/>
    <w:rsid w:val="009E4954"/>
    <w:rsid w:val="009E55C7"/>
    <w:rsid w:val="009E6A94"/>
    <w:rsid w:val="009E6C98"/>
    <w:rsid w:val="009E779D"/>
    <w:rsid w:val="009F1A3C"/>
    <w:rsid w:val="00A008DD"/>
    <w:rsid w:val="00A017F7"/>
    <w:rsid w:val="00A01811"/>
    <w:rsid w:val="00A022DD"/>
    <w:rsid w:val="00A023ED"/>
    <w:rsid w:val="00A03305"/>
    <w:rsid w:val="00A060D3"/>
    <w:rsid w:val="00A06F74"/>
    <w:rsid w:val="00A07239"/>
    <w:rsid w:val="00A079AE"/>
    <w:rsid w:val="00A103C6"/>
    <w:rsid w:val="00A11258"/>
    <w:rsid w:val="00A1151E"/>
    <w:rsid w:val="00A125E8"/>
    <w:rsid w:val="00A12F2E"/>
    <w:rsid w:val="00A14806"/>
    <w:rsid w:val="00A14D38"/>
    <w:rsid w:val="00A163B4"/>
    <w:rsid w:val="00A205BA"/>
    <w:rsid w:val="00A2066D"/>
    <w:rsid w:val="00A2146E"/>
    <w:rsid w:val="00A22FA3"/>
    <w:rsid w:val="00A2311A"/>
    <w:rsid w:val="00A238C1"/>
    <w:rsid w:val="00A24426"/>
    <w:rsid w:val="00A24AF4"/>
    <w:rsid w:val="00A25D23"/>
    <w:rsid w:val="00A262AE"/>
    <w:rsid w:val="00A262FB"/>
    <w:rsid w:val="00A271BC"/>
    <w:rsid w:val="00A27972"/>
    <w:rsid w:val="00A27C65"/>
    <w:rsid w:val="00A27F6B"/>
    <w:rsid w:val="00A307CC"/>
    <w:rsid w:val="00A30D39"/>
    <w:rsid w:val="00A31076"/>
    <w:rsid w:val="00A31A36"/>
    <w:rsid w:val="00A3360C"/>
    <w:rsid w:val="00A35C4B"/>
    <w:rsid w:val="00A363F1"/>
    <w:rsid w:val="00A36639"/>
    <w:rsid w:val="00A37A5C"/>
    <w:rsid w:val="00A4333B"/>
    <w:rsid w:val="00A43C58"/>
    <w:rsid w:val="00A43EA3"/>
    <w:rsid w:val="00A454C3"/>
    <w:rsid w:val="00A47BC5"/>
    <w:rsid w:val="00A47DB2"/>
    <w:rsid w:val="00A514CB"/>
    <w:rsid w:val="00A51799"/>
    <w:rsid w:val="00A529D7"/>
    <w:rsid w:val="00A52CC4"/>
    <w:rsid w:val="00A53B43"/>
    <w:rsid w:val="00A541EA"/>
    <w:rsid w:val="00A54BCB"/>
    <w:rsid w:val="00A56155"/>
    <w:rsid w:val="00A563BE"/>
    <w:rsid w:val="00A56527"/>
    <w:rsid w:val="00A572DE"/>
    <w:rsid w:val="00A575B5"/>
    <w:rsid w:val="00A6008C"/>
    <w:rsid w:val="00A60360"/>
    <w:rsid w:val="00A62640"/>
    <w:rsid w:val="00A6295D"/>
    <w:rsid w:val="00A62AAE"/>
    <w:rsid w:val="00A62E1F"/>
    <w:rsid w:val="00A62FA9"/>
    <w:rsid w:val="00A635DD"/>
    <w:rsid w:val="00A64119"/>
    <w:rsid w:val="00A645A1"/>
    <w:rsid w:val="00A64A8A"/>
    <w:rsid w:val="00A663DF"/>
    <w:rsid w:val="00A671D9"/>
    <w:rsid w:val="00A674F5"/>
    <w:rsid w:val="00A70445"/>
    <w:rsid w:val="00A705A3"/>
    <w:rsid w:val="00A70BBC"/>
    <w:rsid w:val="00A71E1F"/>
    <w:rsid w:val="00A74262"/>
    <w:rsid w:val="00A763C9"/>
    <w:rsid w:val="00A814AA"/>
    <w:rsid w:val="00A81F9C"/>
    <w:rsid w:val="00A8330E"/>
    <w:rsid w:val="00A85468"/>
    <w:rsid w:val="00A87548"/>
    <w:rsid w:val="00A879A3"/>
    <w:rsid w:val="00A87D68"/>
    <w:rsid w:val="00A9329C"/>
    <w:rsid w:val="00A956F8"/>
    <w:rsid w:val="00A95777"/>
    <w:rsid w:val="00A9708D"/>
    <w:rsid w:val="00A97BAF"/>
    <w:rsid w:val="00AA0607"/>
    <w:rsid w:val="00AA0E41"/>
    <w:rsid w:val="00AA2098"/>
    <w:rsid w:val="00AA2198"/>
    <w:rsid w:val="00AA43AC"/>
    <w:rsid w:val="00AA4F62"/>
    <w:rsid w:val="00AA50AF"/>
    <w:rsid w:val="00AA6641"/>
    <w:rsid w:val="00AA669D"/>
    <w:rsid w:val="00AA79EC"/>
    <w:rsid w:val="00AA7DFD"/>
    <w:rsid w:val="00AB000B"/>
    <w:rsid w:val="00AB17E0"/>
    <w:rsid w:val="00AB19F0"/>
    <w:rsid w:val="00AB25FC"/>
    <w:rsid w:val="00AB27A7"/>
    <w:rsid w:val="00AB2916"/>
    <w:rsid w:val="00AB2AE0"/>
    <w:rsid w:val="00AB3EEA"/>
    <w:rsid w:val="00AB47EF"/>
    <w:rsid w:val="00AB482D"/>
    <w:rsid w:val="00AB59D4"/>
    <w:rsid w:val="00AB6ACF"/>
    <w:rsid w:val="00AC264E"/>
    <w:rsid w:val="00AC285A"/>
    <w:rsid w:val="00AC29DE"/>
    <w:rsid w:val="00AC576B"/>
    <w:rsid w:val="00AC5E9C"/>
    <w:rsid w:val="00AD07D9"/>
    <w:rsid w:val="00AD09B2"/>
    <w:rsid w:val="00AD0D9C"/>
    <w:rsid w:val="00AD1522"/>
    <w:rsid w:val="00AD1F1F"/>
    <w:rsid w:val="00AD2D45"/>
    <w:rsid w:val="00AD3950"/>
    <w:rsid w:val="00AD7D61"/>
    <w:rsid w:val="00AE03C2"/>
    <w:rsid w:val="00AE0B2B"/>
    <w:rsid w:val="00AE1CB3"/>
    <w:rsid w:val="00AE2393"/>
    <w:rsid w:val="00AE31EB"/>
    <w:rsid w:val="00AE4FBF"/>
    <w:rsid w:val="00AE57CB"/>
    <w:rsid w:val="00AE5CE6"/>
    <w:rsid w:val="00AE6EAB"/>
    <w:rsid w:val="00AF0611"/>
    <w:rsid w:val="00AF0DE1"/>
    <w:rsid w:val="00AF21F0"/>
    <w:rsid w:val="00AF3700"/>
    <w:rsid w:val="00AF3C3A"/>
    <w:rsid w:val="00AF510E"/>
    <w:rsid w:val="00AF5165"/>
    <w:rsid w:val="00AF6A75"/>
    <w:rsid w:val="00B02C15"/>
    <w:rsid w:val="00B030B2"/>
    <w:rsid w:val="00B03F2C"/>
    <w:rsid w:val="00B0513C"/>
    <w:rsid w:val="00B05C1F"/>
    <w:rsid w:val="00B06762"/>
    <w:rsid w:val="00B07152"/>
    <w:rsid w:val="00B0771A"/>
    <w:rsid w:val="00B07EF1"/>
    <w:rsid w:val="00B101B6"/>
    <w:rsid w:val="00B136A6"/>
    <w:rsid w:val="00B15C4C"/>
    <w:rsid w:val="00B15FC5"/>
    <w:rsid w:val="00B175CF"/>
    <w:rsid w:val="00B17DF2"/>
    <w:rsid w:val="00B20AF5"/>
    <w:rsid w:val="00B21FD5"/>
    <w:rsid w:val="00B228D4"/>
    <w:rsid w:val="00B24484"/>
    <w:rsid w:val="00B25519"/>
    <w:rsid w:val="00B25968"/>
    <w:rsid w:val="00B270E1"/>
    <w:rsid w:val="00B27441"/>
    <w:rsid w:val="00B27872"/>
    <w:rsid w:val="00B30297"/>
    <w:rsid w:val="00B30EC6"/>
    <w:rsid w:val="00B316A8"/>
    <w:rsid w:val="00B32491"/>
    <w:rsid w:val="00B334F2"/>
    <w:rsid w:val="00B33B72"/>
    <w:rsid w:val="00B35324"/>
    <w:rsid w:val="00B35A67"/>
    <w:rsid w:val="00B35C5D"/>
    <w:rsid w:val="00B35C88"/>
    <w:rsid w:val="00B372F9"/>
    <w:rsid w:val="00B379AB"/>
    <w:rsid w:val="00B41C0C"/>
    <w:rsid w:val="00B425D2"/>
    <w:rsid w:val="00B43625"/>
    <w:rsid w:val="00B437A0"/>
    <w:rsid w:val="00B43FDA"/>
    <w:rsid w:val="00B45AFB"/>
    <w:rsid w:val="00B46E4D"/>
    <w:rsid w:val="00B50E70"/>
    <w:rsid w:val="00B5103B"/>
    <w:rsid w:val="00B51E1F"/>
    <w:rsid w:val="00B52017"/>
    <w:rsid w:val="00B52726"/>
    <w:rsid w:val="00B52E5B"/>
    <w:rsid w:val="00B54881"/>
    <w:rsid w:val="00B557CA"/>
    <w:rsid w:val="00B55D5F"/>
    <w:rsid w:val="00B560C9"/>
    <w:rsid w:val="00B57496"/>
    <w:rsid w:val="00B57C2F"/>
    <w:rsid w:val="00B609A7"/>
    <w:rsid w:val="00B60D9E"/>
    <w:rsid w:val="00B61A13"/>
    <w:rsid w:val="00B622AC"/>
    <w:rsid w:val="00B62BF5"/>
    <w:rsid w:val="00B63655"/>
    <w:rsid w:val="00B66242"/>
    <w:rsid w:val="00B671F3"/>
    <w:rsid w:val="00B7288A"/>
    <w:rsid w:val="00B7435E"/>
    <w:rsid w:val="00B75978"/>
    <w:rsid w:val="00B75A5F"/>
    <w:rsid w:val="00B75B26"/>
    <w:rsid w:val="00B769E5"/>
    <w:rsid w:val="00B76BBD"/>
    <w:rsid w:val="00B80596"/>
    <w:rsid w:val="00B80AC5"/>
    <w:rsid w:val="00B8100E"/>
    <w:rsid w:val="00B8157F"/>
    <w:rsid w:val="00B81FCB"/>
    <w:rsid w:val="00B83708"/>
    <w:rsid w:val="00B846DB"/>
    <w:rsid w:val="00B84854"/>
    <w:rsid w:val="00B84A15"/>
    <w:rsid w:val="00B8510E"/>
    <w:rsid w:val="00B85D06"/>
    <w:rsid w:val="00B85DF3"/>
    <w:rsid w:val="00B861DC"/>
    <w:rsid w:val="00B8620D"/>
    <w:rsid w:val="00B86357"/>
    <w:rsid w:val="00B86389"/>
    <w:rsid w:val="00B86F4F"/>
    <w:rsid w:val="00B877FC"/>
    <w:rsid w:val="00B87C95"/>
    <w:rsid w:val="00B87D32"/>
    <w:rsid w:val="00B87F0F"/>
    <w:rsid w:val="00B9037A"/>
    <w:rsid w:val="00B91ADB"/>
    <w:rsid w:val="00B94C1F"/>
    <w:rsid w:val="00B94CC1"/>
    <w:rsid w:val="00B967E9"/>
    <w:rsid w:val="00BA0AEF"/>
    <w:rsid w:val="00BA1433"/>
    <w:rsid w:val="00BA2528"/>
    <w:rsid w:val="00BA288C"/>
    <w:rsid w:val="00BA2B42"/>
    <w:rsid w:val="00BA322E"/>
    <w:rsid w:val="00BA4639"/>
    <w:rsid w:val="00BA5749"/>
    <w:rsid w:val="00BA5F9F"/>
    <w:rsid w:val="00BA6325"/>
    <w:rsid w:val="00BA6A3C"/>
    <w:rsid w:val="00BA6C29"/>
    <w:rsid w:val="00BB0780"/>
    <w:rsid w:val="00BB0B89"/>
    <w:rsid w:val="00BB34D8"/>
    <w:rsid w:val="00BB3D52"/>
    <w:rsid w:val="00BB4005"/>
    <w:rsid w:val="00BB4242"/>
    <w:rsid w:val="00BB4E75"/>
    <w:rsid w:val="00BB6264"/>
    <w:rsid w:val="00BB7349"/>
    <w:rsid w:val="00BB75E2"/>
    <w:rsid w:val="00BB7CEC"/>
    <w:rsid w:val="00BC0238"/>
    <w:rsid w:val="00BC3843"/>
    <w:rsid w:val="00BC5173"/>
    <w:rsid w:val="00BC733C"/>
    <w:rsid w:val="00BC74BB"/>
    <w:rsid w:val="00BC75B3"/>
    <w:rsid w:val="00BC765F"/>
    <w:rsid w:val="00BD07BE"/>
    <w:rsid w:val="00BD0A51"/>
    <w:rsid w:val="00BD0C73"/>
    <w:rsid w:val="00BD13FA"/>
    <w:rsid w:val="00BD1A57"/>
    <w:rsid w:val="00BD3217"/>
    <w:rsid w:val="00BD3366"/>
    <w:rsid w:val="00BD370D"/>
    <w:rsid w:val="00BD4403"/>
    <w:rsid w:val="00BD4B67"/>
    <w:rsid w:val="00BD518E"/>
    <w:rsid w:val="00BD51ED"/>
    <w:rsid w:val="00BD5201"/>
    <w:rsid w:val="00BD55D3"/>
    <w:rsid w:val="00BD5B30"/>
    <w:rsid w:val="00BD671E"/>
    <w:rsid w:val="00BE0218"/>
    <w:rsid w:val="00BE0FEA"/>
    <w:rsid w:val="00BE1A48"/>
    <w:rsid w:val="00BE1EBF"/>
    <w:rsid w:val="00BE1F81"/>
    <w:rsid w:val="00BE2097"/>
    <w:rsid w:val="00BE291D"/>
    <w:rsid w:val="00BE3495"/>
    <w:rsid w:val="00BE4EA8"/>
    <w:rsid w:val="00BE6433"/>
    <w:rsid w:val="00BE6B34"/>
    <w:rsid w:val="00BE75F0"/>
    <w:rsid w:val="00BF0DE8"/>
    <w:rsid w:val="00BF1EF6"/>
    <w:rsid w:val="00BF21BA"/>
    <w:rsid w:val="00BF21C7"/>
    <w:rsid w:val="00BF498F"/>
    <w:rsid w:val="00BF4F91"/>
    <w:rsid w:val="00BF5048"/>
    <w:rsid w:val="00C00A5A"/>
    <w:rsid w:val="00C00BDB"/>
    <w:rsid w:val="00C015CD"/>
    <w:rsid w:val="00C01CCC"/>
    <w:rsid w:val="00C01E98"/>
    <w:rsid w:val="00C01F05"/>
    <w:rsid w:val="00C02CB3"/>
    <w:rsid w:val="00C04047"/>
    <w:rsid w:val="00C04828"/>
    <w:rsid w:val="00C04DBF"/>
    <w:rsid w:val="00C0563D"/>
    <w:rsid w:val="00C11C7A"/>
    <w:rsid w:val="00C13BDD"/>
    <w:rsid w:val="00C13D90"/>
    <w:rsid w:val="00C14719"/>
    <w:rsid w:val="00C1509F"/>
    <w:rsid w:val="00C1631B"/>
    <w:rsid w:val="00C164F7"/>
    <w:rsid w:val="00C17CC0"/>
    <w:rsid w:val="00C20B6C"/>
    <w:rsid w:val="00C21A80"/>
    <w:rsid w:val="00C21CC5"/>
    <w:rsid w:val="00C221BB"/>
    <w:rsid w:val="00C230D7"/>
    <w:rsid w:val="00C23223"/>
    <w:rsid w:val="00C23AF6"/>
    <w:rsid w:val="00C24D92"/>
    <w:rsid w:val="00C24EF0"/>
    <w:rsid w:val="00C26E4C"/>
    <w:rsid w:val="00C2774E"/>
    <w:rsid w:val="00C3016C"/>
    <w:rsid w:val="00C311B7"/>
    <w:rsid w:val="00C31975"/>
    <w:rsid w:val="00C32839"/>
    <w:rsid w:val="00C34E96"/>
    <w:rsid w:val="00C36392"/>
    <w:rsid w:val="00C364C1"/>
    <w:rsid w:val="00C370EB"/>
    <w:rsid w:val="00C37E59"/>
    <w:rsid w:val="00C417E5"/>
    <w:rsid w:val="00C419A3"/>
    <w:rsid w:val="00C41EBA"/>
    <w:rsid w:val="00C42187"/>
    <w:rsid w:val="00C422E6"/>
    <w:rsid w:val="00C429C5"/>
    <w:rsid w:val="00C42C1A"/>
    <w:rsid w:val="00C4415F"/>
    <w:rsid w:val="00C44543"/>
    <w:rsid w:val="00C4462A"/>
    <w:rsid w:val="00C45675"/>
    <w:rsid w:val="00C457E1"/>
    <w:rsid w:val="00C4672A"/>
    <w:rsid w:val="00C47961"/>
    <w:rsid w:val="00C47D40"/>
    <w:rsid w:val="00C53955"/>
    <w:rsid w:val="00C55055"/>
    <w:rsid w:val="00C5630E"/>
    <w:rsid w:val="00C57E60"/>
    <w:rsid w:val="00C57E7A"/>
    <w:rsid w:val="00C636BE"/>
    <w:rsid w:val="00C65304"/>
    <w:rsid w:val="00C658E0"/>
    <w:rsid w:val="00C67B61"/>
    <w:rsid w:val="00C7059E"/>
    <w:rsid w:val="00C7112F"/>
    <w:rsid w:val="00C73E0E"/>
    <w:rsid w:val="00C7704F"/>
    <w:rsid w:val="00C8165C"/>
    <w:rsid w:val="00C81C40"/>
    <w:rsid w:val="00C8269C"/>
    <w:rsid w:val="00C84085"/>
    <w:rsid w:val="00C84962"/>
    <w:rsid w:val="00C85057"/>
    <w:rsid w:val="00C85A07"/>
    <w:rsid w:val="00C85AD0"/>
    <w:rsid w:val="00C85BD5"/>
    <w:rsid w:val="00C85E4F"/>
    <w:rsid w:val="00C8604A"/>
    <w:rsid w:val="00C863F5"/>
    <w:rsid w:val="00C8659F"/>
    <w:rsid w:val="00C86D8E"/>
    <w:rsid w:val="00C903BA"/>
    <w:rsid w:val="00C90D1E"/>
    <w:rsid w:val="00C91584"/>
    <w:rsid w:val="00C92602"/>
    <w:rsid w:val="00C9648A"/>
    <w:rsid w:val="00C97D75"/>
    <w:rsid w:val="00CA04FF"/>
    <w:rsid w:val="00CA1C31"/>
    <w:rsid w:val="00CA28E9"/>
    <w:rsid w:val="00CA4107"/>
    <w:rsid w:val="00CA4863"/>
    <w:rsid w:val="00CA59D9"/>
    <w:rsid w:val="00CA6711"/>
    <w:rsid w:val="00CA679C"/>
    <w:rsid w:val="00CA687C"/>
    <w:rsid w:val="00CA7AB5"/>
    <w:rsid w:val="00CB0504"/>
    <w:rsid w:val="00CB2CDB"/>
    <w:rsid w:val="00CB51C1"/>
    <w:rsid w:val="00CB53D7"/>
    <w:rsid w:val="00CB6B56"/>
    <w:rsid w:val="00CB78A5"/>
    <w:rsid w:val="00CC1B1A"/>
    <w:rsid w:val="00CC1F61"/>
    <w:rsid w:val="00CC35EC"/>
    <w:rsid w:val="00CC5754"/>
    <w:rsid w:val="00CC5892"/>
    <w:rsid w:val="00CC61FB"/>
    <w:rsid w:val="00CC686C"/>
    <w:rsid w:val="00CC6E9E"/>
    <w:rsid w:val="00CC79D7"/>
    <w:rsid w:val="00CD1805"/>
    <w:rsid w:val="00CD19CB"/>
    <w:rsid w:val="00CD1A28"/>
    <w:rsid w:val="00CD2252"/>
    <w:rsid w:val="00CD235B"/>
    <w:rsid w:val="00CD259C"/>
    <w:rsid w:val="00CD29BA"/>
    <w:rsid w:val="00CD39FC"/>
    <w:rsid w:val="00CD4089"/>
    <w:rsid w:val="00CD50FB"/>
    <w:rsid w:val="00CD6318"/>
    <w:rsid w:val="00CD7764"/>
    <w:rsid w:val="00CD7BC3"/>
    <w:rsid w:val="00CE06E3"/>
    <w:rsid w:val="00CE06E7"/>
    <w:rsid w:val="00CE1C01"/>
    <w:rsid w:val="00CE2088"/>
    <w:rsid w:val="00CE2123"/>
    <w:rsid w:val="00CE2899"/>
    <w:rsid w:val="00CE2D12"/>
    <w:rsid w:val="00CE3CEC"/>
    <w:rsid w:val="00CE4BC8"/>
    <w:rsid w:val="00CE6B51"/>
    <w:rsid w:val="00CF188D"/>
    <w:rsid w:val="00CF2AFB"/>
    <w:rsid w:val="00CF351A"/>
    <w:rsid w:val="00CF3BE6"/>
    <w:rsid w:val="00CF48C1"/>
    <w:rsid w:val="00CF5337"/>
    <w:rsid w:val="00CF7A77"/>
    <w:rsid w:val="00CF7C2F"/>
    <w:rsid w:val="00CF7C65"/>
    <w:rsid w:val="00CF7FE1"/>
    <w:rsid w:val="00D021F3"/>
    <w:rsid w:val="00D02DCC"/>
    <w:rsid w:val="00D03E75"/>
    <w:rsid w:val="00D04099"/>
    <w:rsid w:val="00D04766"/>
    <w:rsid w:val="00D04A5A"/>
    <w:rsid w:val="00D06771"/>
    <w:rsid w:val="00D072CE"/>
    <w:rsid w:val="00D12E51"/>
    <w:rsid w:val="00D13430"/>
    <w:rsid w:val="00D135FD"/>
    <w:rsid w:val="00D141B8"/>
    <w:rsid w:val="00D170B9"/>
    <w:rsid w:val="00D200A3"/>
    <w:rsid w:val="00D21BFE"/>
    <w:rsid w:val="00D22164"/>
    <w:rsid w:val="00D23CBB"/>
    <w:rsid w:val="00D2412A"/>
    <w:rsid w:val="00D24CFA"/>
    <w:rsid w:val="00D254A1"/>
    <w:rsid w:val="00D27C6F"/>
    <w:rsid w:val="00D30014"/>
    <w:rsid w:val="00D30780"/>
    <w:rsid w:val="00D30D49"/>
    <w:rsid w:val="00D31AFE"/>
    <w:rsid w:val="00D32DE0"/>
    <w:rsid w:val="00D36C32"/>
    <w:rsid w:val="00D37687"/>
    <w:rsid w:val="00D41240"/>
    <w:rsid w:val="00D45A01"/>
    <w:rsid w:val="00D45F5F"/>
    <w:rsid w:val="00D51563"/>
    <w:rsid w:val="00D5218F"/>
    <w:rsid w:val="00D536CC"/>
    <w:rsid w:val="00D5397F"/>
    <w:rsid w:val="00D54F12"/>
    <w:rsid w:val="00D56572"/>
    <w:rsid w:val="00D62460"/>
    <w:rsid w:val="00D62861"/>
    <w:rsid w:val="00D63C1A"/>
    <w:rsid w:val="00D6400B"/>
    <w:rsid w:val="00D6458D"/>
    <w:rsid w:val="00D64AD1"/>
    <w:rsid w:val="00D655AF"/>
    <w:rsid w:val="00D664C2"/>
    <w:rsid w:val="00D6653F"/>
    <w:rsid w:val="00D67ABB"/>
    <w:rsid w:val="00D70C4F"/>
    <w:rsid w:val="00D716A8"/>
    <w:rsid w:val="00D7224F"/>
    <w:rsid w:val="00D73E7C"/>
    <w:rsid w:val="00D744FB"/>
    <w:rsid w:val="00D74A7B"/>
    <w:rsid w:val="00D74E9F"/>
    <w:rsid w:val="00D75A2B"/>
    <w:rsid w:val="00D75DC9"/>
    <w:rsid w:val="00D76738"/>
    <w:rsid w:val="00D769EF"/>
    <w:rsid w:val="00D76D36"/>
    <w:rsid w:val="00D77448"/>
    <w:rsid w:val="00D77699"/>
    <w:rsid w:val="00D776E4"/>
    <w:rsid w:val="00D81689"/>
    <w:rsid w:val="00D828FB"/>
    <w:rsid w:val="00D84EA8"/>
    <w:rsid w:val="00D84EB6"/>
    <w:rsid w:val="00D86E7A"/>
    <w:rsid w:val="00D87074"/>
    <w:rsid w:val="00D909AC"/>
    <w:rsid w:val="00D93667"/>
    <w:rsid w:val="00D93A0D"/>
    <w:rsid w:val="00D94794"/>
    <w:rsid w:val="00D95174"/>
    <w:rsid w:val="00D953F4"/>
    <w:rsid w:val="00D9612A"/>
    <w:rsid w:val="00D96902"/>
    <w:rsid w:val="00D96EB1"/>
    <w:rsid w:val="00D972D1"/>
    <w:rsid w:val="00D9750A"/>
    <w:rsid w:val="00DA09B9"/>
    <w:rsid w:val="00DA15D8"/>
    <w:rsid w:val="00DA27E5"/>
    <w:rsid w:val="00DA3F71"/>
    <w:rsid w:val="00DA5362"/>
    <w:rsid w:val="00DA6283"/>
    <w:rsid w:val="00DA7932"/>
    <w:rsid w:val="00DB0D84"/>
    <w:rsid w:val="00DB2A29"/>
    <w:rsid w:val="00DB34BE"/>
    <w:rsid w:val="00DB3D53"/>
    <w:rsid w:val="00DB4BBD"/>
    <w:rsid w:val="00DB5A20"/>
    <w:rsid w:val="00DB6360"/>
    <w:rsid w:val="00DB75D3"/>
    <w:rsid w:val="00DC128B"/>
    <w:rsid w:val="00DC2CAA"/>
    <w:rsid w:val="00DC383A"/>
    <w:rsid w:val="00DC3C5E"/>
    <w:rsid w:val="00DC40D7"/>
    <w:rsid w:val="00DC53BE"/>
    <w:rsid w:val="00DC5525"/>
    <w:rsid w:val="00DC6AFB"/>
    <w:rsid w:val="00DC78D8"/>
    <w:rsid w:val="00DD1516"/>
    <w:rsid w:val="00DD2399"/>
    <w:rsid w:val="00DD34B5"/>
    <w:rsid w:val="00DD38BB"/>
    <w:rsid w:val="00DD49D9"/>
    <w:rsid w:val="00DD5FBB"/>
    <w:rsid w:val="00DD7B42"/>
    <w:rsid w:val="00DE11E3"/>
    <w:rsid w:val="00DE1DA5"/>
    <w:rsid w:val="00DE2C8E"/>
    <w:rsid w:val="00DE6171"/>
    <w:rsid w:val="00DE6596"/>
    <w:rsid w:val="00DE6D59"/>
    <w:rsid w:val="00DF057A"/>
    <w:rsid w:val="00DF21E7"/>
    <w:rsid w:val="00DF331A"/>
    <w:rsid w:val="00DF3480"/>
    <w:rsid w:val="00DF3759"/>
    <w:rsid w:val="00DF3BAA"/>
    <w:rsid w:val="00DF3DCD"/>
    <w:rsid w:val="00DF430D"/>
    <w:rsid w:val="00DF5C8C"/>
    <w:rsid w:val="00DF7022"/>
    <w:rsid w:val="00DF7173"/>
    <w:rsid w:val="00DF76DC"/>
    <w:rsid w:val="00DF79AE"/>
    <w:rsid w:val="00E006EB"/>
    <w:rsid w:val="00E01238"/>
    <w:rsid w:val="00E02C9E"/>
    <w:rsid w:val="00E03128"/>
    <w:rsid w:val="00E031C3"/>
    <w:rsid w:val="00E03401"/>
    <w:rsid w:val="00E045EA"/>
    <w:rsid w:val="00E04AC2"/>
    <w:rsid w:val="00E052BE"/>
    <w:rsid w:val="00E0668D"/>
    <w:rsid w:val="00E10978"/>
    <w:rsid w:val="00E10AEC"/>
    <w:rsid w:val="00E125A3"/>
    <w:rsid w:val="00E127DB"/>
    <w:rsid w:val="00E12C06"/>
    <w:rsid w:val="00E12CAC"/>
    <w:rsid w:val="00E132E6"/>
    <w:rsid w:val="00E14A9E"/>
    <w:rsid w:val="00E15780"/>
    <w:rsid w:val="00E1584E"/>
    <w:rsid w:val="00E159BA"/>
    <w:rsid w:val="00E16A50"/>
    <w:rsid w:val="00E16D93"/>
    <w:rsid w:val="00E1773B"/>
    <w:rsid w:val="00E17C53"/>
    <w:rsid w:val="00E20E15"/>
    <w:rsid w:val="00E211AD"/>
    <w:rsid w:val="00E22F05"/>
    <w:rsid w:val="00E2430D"/>
    <w:rsid w:val="00E24700"/>
    <w:rsid w:val="00E2519A"/>
    <w:rsid w:val="00E2604F"/>
    <w:rsid w:val="00E26F66"/>
    <w:rsid w:val="00E303CE"/>
    <w:rsid w:val="00E30D70"/>
    <w:rsid w:val="00E30FB0"/>
    <w:rsid w:val="00E33C7E"/>
    <w:rsid w:val="00E33D2F"/>
    <w:rsid w:val="00E34670"/>
    <w:rsid w:val="00E34A2B"/>
    <w:rsid w:val="00E358C1"/>
    <w:rsid w:val="00E35DD3"/>
    <w:rsid w:val="00E368B3"/>
    <w:rsid w:val="00E374D9"/>
    <w:rsid w:val="00E375EA"/>
    <w:rsid w:val="00E41B17"/>
    <w:rsid w:val="00E41B5C"/>
    <w:rsid w:val="00E42382"/>
    <w:rsid w:val="00E43721"/>
    <w:rsid w:val="00E445E2"/>
    <w:rsid w:val="00E44BE6"/>
    <w:rsid w:val="00E457F9"/>
    <w:rsid w:val="00E45A9B"/>
    <w:rsid w:val="00E46668"/>
    <w:rsid w:val="00E4751F"/>
    <w:rsid w:val="00E47FB0"/>
    <w:rsid w:val="00E5045F"/>
    <w:rsid w:val="00E50AFA"/>
    <w:rsid w:val="00E552C7"/>
    <w:rsid w:val="00E6354D"/>
    <w:rsid w:val="00E63C40"/>
    <w:rsid w:val="00E65333"/>
    <w:rsid w:val="00E67C45"/>
    <w:rsid w:val="00E70007"/>
    <w:rsid w:val="00E70176"/>
    <w:rsid w:val="00E70F27"/>
    <w:rsid w:val="00E71500"/>
    <w:rsid w:val="00E725DE"/>
    <w:rsid w:val="00E725F4"/>
    <w:rsid w:val="00E76B7D"/>
    <w:rsid w:val="00E803CE"/>
    <w:rsid w:val="00E829DA"/>
    <w:rsid w:val="00E83D79"/>
    <w:rsid w:val="00E87297"/>
    <w:rsid w:val="00E877CB"/>
    <w:rsid w:val="00E920EC"/>
    <w:rsid w:val="00E928D7"/>
    <w:rsid w:val="00E934DF"/>
    <w:rsid w:val="00E9523B"/>
    <w:rsid w:val="00E959F8"/>
    <w:rsid w:val="00E960DE"/>
    <w:rsid w:val="00E96A7D"/>
    <w:rsid w:val="00E96E9F"/>
    <w:rsid w:val="00E970B1"/>
    <w:rsid w:val="00EA0945"/>
    <w:rsid w:val="00EA0B73"/>
    <w:rsid w:val="00EA1863"/>
    <w:rsid w:val="00EA213D"/>
    <w:rsid w:val="00EA3BA1"/>
    <w:rsid w:val="00EA457B"/>
    <w:rsid w:val="00EA49F2"/>
    <w:rsid w:val="00EA6320"/>
    <w:rsid w:val="00EA7478"/>
    <w:rsid w:val="00EB00AD"/>
    <w:rsid w:val="00EB19EC"/>
    <w:rsid w:val="00EB527B"/>
    <w:rsid w:val="00EB5A26"/>
    <w:rsid w:val="00EB6126"/>
    <w:rsid w:val="00EB647A"/>
    <w:rsid w:val="00EB7D91"/>
    <w:rsid w:val="00EC08ED"/>
    <w:rsid w:val="00EC1353"/>
    <w:rsid w:val="00EC1EB5"/>
    <w:rsid w:val="00EC2F4D"/>
    <w:rsid w:val="00EC32CD"/>
    <w:rsid w:val="00EC4704"/>
    <w:rsid w:val="00EC6DF4"/>
    <w:rsid w:val="00EC6F3C"/>
    <w:rsid w:val="00EC7395"/>
    <w:rsid w:val="00ED0052"/>
    <w:rsid w:val="00ED039D"/>
    <w:rsid w:val="00ED08AE"/>
    <w:rsid w:val="00ED19C1"/>
    <w:rsid w:val="00ED24C6"/>
    <w:rsid w:val="00ED6241"/>
    <w:rsid w:val="00ED7665"/>
    <w:rsid w:val="00EE0515"/>
    <w:rsid w:val="00EE0EAE"/>
    <w:rsid w:val="00EE3D07"/>
    <w:rsid w:val="00EE4D22"/>
    <w:rsid w:val="00EE5B80"/>
    <w:rsid w:val="00EE6F31"/>
    <w:rsid w:val="00EE70D8"/>
    <w:rsid w:val="00EE76D2"/>
    <w:rsid w:val="00EF1F35"/>
    <w:rsid w:val="00EF2908"/>
    <w:rsid w:val="00EF658E"/>
    <w:rsid w:val="00EF707F"/>
    <w:rsid w:val="00EF77E7"/>
    <w:rsid w:val="00EF7932"/>
    <w:rsid w:val="00F013D0"/>
    <w:rsid w:val="00F02794"/>
    <w:rsid w:val="00F028AD"/>
    <w:rsid w:val="00F02C71"/>
    <w:rsid w:val="00F035B4"/>
    <w:rsid w:val="00F03AD6"/>
    <w:rsid w:val="00F041A3"/>
    <w:rsid w:val="00F056C0"/>
    <w:rsid w:val="00F063C6"/>
    <w:rsid w:val="00F11D56"/>
    <w:rsid w:val="00F11EA8"/>
    <w:rsid w:val="00F14568"/>
    <w:rsid w:val="00F15604"/>
    <w:rsid w:val="00F172AC"/>
    <w:rsid w:val="00F1753B"/>
    <w:rsid w:val="00F203FD"/>
    <w:rsid w:val="00F20A47"/>
    <w:rsid w:val="00F232BE"/>
    <w:rsid w:val="00F23435"/>
    <w:rsid w:val="00F24B53"/>
    <w:rsid w:val="00F25165"/>
    <w:rsid w:val="00F26C48"/>
    <w:rsid w:val="00F26CEB"/>
    <w:rsid w:val="00F26F1B"/>
    <w:rsid w:val="00F26F5C"/>
    <w:rsid w:val="00F2731A"/>
    <w:rsid w:val="00F30A0A"/>
    <w:rsid w:val="00F34211"/>
    <w:rsid w:val="00F354BE"/>
    <w:rsid w:val="00F35591"/>
    <w:rsid w:val="00F36D47"/>
    <w:rsid w:val="00F37F4C"/>
    <w:rsid w:val="00F40195"/>
    <w:rsid w:val="00F40800"/>
    <w:rsid w:val="00F433FC"/>
    <w:rsid w:val="00F446EB"/>
    <w:rsid w:val="00F45E16"/>
    <w:rsid w:val="00F46017"/>
    <w:rsid w:val="00F501DB"/>
    <w:rsid w:val="00F5039A"/>
    <w:rsid w:val="00F5049B"/>
    <w:rsid w:val="00F5171F"/>
    <w:rsid w:val="00F51FFE"/>
    <w:rsid w:val="00F531D2"/>
    <w:rsid w:val="00F531E3"/>
    <w:rsid w:val="00F53FA3"/>
    <w:rsid w:val="00F62AAF"/>
    <w:rsid w:val="00F64500"/>
    <w:rsid w:val="00F64E0F"/>
    <w:rsid w:val="00F65836"/>
    <w:rsid w:val="00F65A30"/>
    <w:rsid w:val="00F70809"/>
    <w:rsid w:val="00F71841"/>
    <w:rsid w:val="00F71C67"/>
    <w:rsid w:val="00F727DA"/>
    <w:rsid w:val="00F72A45"/>
    <w:rsid w:val="00F72B94"/>
    <w:rsid w:val="00F72F58"/>
    <w:rsid w:val="00F7325D"/>
    <w:rsid w:val="00F7344E"/>
    <w:rsid w:val="00F7366E"/>
    <w:rsid w:val="00F73931"/>
    <w:rsid w:val="00F7407D"/>
    <w:rsid w:val="00F74C20"/>
    <w:rsid w:val="00F75091"/>
    <w:rsid w:val="00F75454"/>
    <w:rsid w:val="00F75AAF"/>
    <w:rsid w:val="00F76F53"/>
    <w:rsid w:val="00F77C37"/>
    <w:rsid w:val="00F77C61"/>
    <w:rsid w:val="00F80BB1"/>
    <w:rsid w:val="00F81E24"/>
    <w:rsid w:val="00F84CC1"/>
    <w:rsid w:val="00F84D08"/>
    <w:rsid w:val="00F86487"/>
    <w:rsid w:val="00F870E7"/>
    <w:rsid w:val="00F87434"/>
    <w:rsid w:val="00F90839"/>
    <w:rsid w:val="00F91683"/>
    <w:rsid w:val="00F919E6"/>
    <w:rsid w:val="00F93A1D"/>
    <w:rsid w:val="00F94744"/>
    <w:rsid w:val="00F960E6"/>
    <w:rsid w:val="00F96568"/>
    <w:rsid w:val="00F97FE5"/>
    <w:rsid w:val="00FA03C3"/>
    <w:rsid w:val="00FA0F73"/>
    <w:rsid w:val="00FA1DF2"/>
    <w:rsid w:val="00FA3175"/>
    <w:rsid w:val="00FA389B"/>
    <w:rsid w:val="00FA3988"/>
    <w:rsid w:val="00FA3FDB"/>
    <w:rsid w:val="00FA43CF"/>
    <w:rsid w:val="00FA5021"/>
    <w:rsid w:val="00FA65E3"/>
    <w:rsid w:val="00FA6F0C"/>
    <w:rsid w:val="00FA7C4F"/>
    <w:rsid w:val="00FB0D7F"/>
    <w:rsid w:val="00FB3EB1"/>
    <w:rsid w:val="00FB5318"/>
    <w:rsid w:val="00FB6AAE"/>
    <w:rsid w:val="00FB6FC6"/>
    <w:rsid w:val="00FB7899"/>
    <w:rsid w:val="00FC0680"/>
    <w:rsid w:val="00FC0F52"/>
    <w:rsid w:val="00FC14AC"/>
    <w:rsid w:val="00FC1976"/>
    <w:rsid w:val="00FC32C7"/>
    <w:rsid w:val="00FC34BA"/>
    <w:rsid w:val="00FC352A"/>
    <w:rsid w:val="00FC385E"/>
    <w:rsid w:val="00FC5186"/>
    <w:rsid w:val="00FC6A68"/>
    <w:rsid w:val="00FC7FFA"/>
    <w:rsid w:val="00FD0CF0"/>
    <w:rsid w:val="00FD15B4"/>
    <w:rsid w:val="00FD223B"/>
    <w:rsid w:val="00FD2F0D"/>
    <w:rsid w:val="00FD4A88"/>
    <w:rsid w:val="00FD4DD0"/>
    <w:rsid w:val="00FD5495"/>
    <w:rsid w:val="00FD6E67"/>
    <w:rsid w:val="00FD784A"/>
    <w:rsid w:val="00FD79C8"/>
    <w:rsid w:val="00FE012F"/>
    <w:rsid w:val="00FE1702"/>
    <w:rsid w:val="00FE1A5F"/>
    <w:rsid w:val="00FE209F"/>
    <w:rsid w:val="00FE3A48"/>
    <w:rsid w:val="00FE4EA4"/>
    <w:rsid w:val="00FE66EB"/>
    <w:rsid w:val="00FE71D0"/>
    <w:rsid w:val="00FE7497"/>
    <w:rsid w:val="00FF0257"/>
    <w:rsid w:val="00FF0C3D"/>
    <w:rsid w:val="00FF1A18"/>
    <w:rsid w:val="00FF3760"/>
    <w:rsid w:val="00FF5F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99"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70A9E"/>
    <w:rPr>
      <w:rFonts w:ascii="Times New Roman" w:hAnsi="Times New Roman"/>
      <w:sz w:val="24"/>
    </w:rPr>
  </w:style>
  <w:style w:type="paragraph" w:styleId="Heading1">
    <w:name w:val="heading 1"/>
    <w:basedOn w:val="Normal"/>
    <w:next w:val="Normal"/>
    <w:link w:val="Heading1Char"/>
    <w:autoRedefine/>
    <w:uiPriority w:val="9"/>
    <w:qFormat/>
    <w:rsid w:val="007162A8"/>
    <w:pPr>
      <w:keepNext/>
      <w:keepLines/>
      <w:tabs>
        <w:tab w:val="left" w:pos="8370"/>
      </w:tabs>
      <w:spacing w:before="240" w:after="120" w:line="240" w:lineRule="auto"/>
      <w:jc w:val="center"/>
      <w:outlineLvl w:val="0"/>
    </w:pPr>
    <w:rPr>
      <w:rFonts w:eastAsia="Times New Roman" w:cstheme="majorBidi"/>
      <w:b/>
      <w:bCs/>
      <w:caps/>
      <w:szCs w:val="28"/>
    </w:rPr>
  </w:style>
  <w:style w:type="paragraph" w:styleId="Heading2">
    <w:name w:val="heading 2"/>
    <w:basedOn w:val="Normal"/>
    <w:next w:val="Normal"/>
    <w:link w:val="Heading2Char"/>
    <w:autoRedefine/>
    <w:uiPriority w:val="9"/>
    <w:unhideWhenUsed/>
    <w:qFormat/>
    <w:rsid w:val="007162A8"/>
    <w:pPr>
      <w:keepNext/>
      <w:keepLines/>
      <w:spacing w:before="240" w:after="120" w:line="240" w:lineRule="auto"/>
      <w:outlineLvl w:val="1"/>
    </w:pPr>
    <w:rPr>
      <w:rFonts w:eastAsiaTheme="majorEastAsia" w:cs="Times New Roman"/>
      <w:b/>
      <w:bCs/>
      <w:caps/>
      <w:szCs w:val="24"/>
    </w:rPr>
  </w:style>
  <w:style w:type="paragraph" w:styleId="Heading3">
    <w:name w:val="heading 3"/>
    <w:basedOn w:val="Normal"/>
    <w:next w:val="Normal"/>
    <w:link w:val="Heading3Char"/>
    <w:autoRedefine/>
    <w:uiPriority w:val="9"/>
    <w:unhideWhenUsed/>
    <w:qFormat/>
    <w:rsid w:val="00544A76"/>
    <w:pPr>
      <w:keepNext/>
      <w:keepLines/>
      <w:spacing w:before="120" w:after="120" w:line="240" w:lineRule="auto"/>
      <w:outlineLvl w:val="2"/>
    </w:pPr>
    <w:rPr>
      <w:rFonts w:eastAsiaTheme="majorEastAsia" w:cs="Times New Roman"/>
      <w:b/>
      <w:bCs/>
      <w:szCs w:val="24"/>
    </w:rPr>
  </w:style>
  <w:style w:type="paragraph" w:styleId="Heading4">
    <w:name w:val="heading 4"/>
    <w:basedOn w:val="Normal"/>
    <w:next w:val="Normal"/>
    <w:link w:val="Heading4Char"/>
    <w:autoRedefine/>
    <w:qFormat/>
    <w:rsid w:val="00DC2CAA"/>
    <w:pPr>
      <w:keepNext/>
      <w:spacing w:before="240" w:after="60" w:line="240" w:lineRule="auto"/>
      <w:contextualSpacing/>
      <w:jc w:val="center"/>
      <w:outlineLvl w:val="3"/>
    </w:pPr>
    <w:rPr>
      <w:rFonts w:eastAsia="Times New Roman" w:cs="Times New Roman"/>
      <w:b/>
      <w:bCs/>
      <w:sz w:val="20"/>
      <w:szCs w:val="20"/>
    </w:rPr>
  </w:style>
  <w:style w:type="paragraph" w:styleId="Heading6">
    <w:name w:val="heading 6"/>
    <w:basedOn w:val="Normal"/>
    <w:next w:val="Normal"/>
    <w:link w:val="Heading6Char"/>
    <w:rsid w:val="009362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362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2A8"/>
    <w:rPr>
      <w:rFonts w:ascii="Times New Roman" w:eastAsia="Times New Roman" w:hAnsi="Times New Roman" w:cstheme="majorBidi"/>
      <w:b/>
      <w:bCs/>
      <w:caps/>
      <w:sz w:val="24"/>
      <w:szCs w:val="28"/>
    </w:rPr>
  </w:style>
  <w:style w:type="character" w:customStyle="1" w:styleId="Heading2Char">
    <w:name w:val="Heading 2 Char"/>
    <w:basedOn w:val="DefaultParagraphFont"/>
    <w:link w:val="Heading2"/>
    <w:uiPriority w:val="9"/>
    <w:rsid w:val="007162A8"/>
    <w:rPr>
      <w:rFonts w:ascii="Times New Roman" w:eastAsiaTheme="majorEastAsia" w:hAnsi="Times New Roman" w:cs="Times New Roman"/>
      <w:b/>
      <w:bCs/>
      <w:caps/>
      <w:sz w:val="24"/>
      <w:szCs w:val="24"/>
    </w:rPr>
  </w:style>
  <w:style w:type="character" w:customStyle="1" w:styleId="Heading3Char">
    <w:name w:val="Heading 3 Char"/>
    <w:basedOn w:val="DefaultParagraphFont"/>
    <w:link w:val="Heading3"/>
    <w:uiPriority w:val="9"/>
    <w:rsid w:val="00544A76"/>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rsid w:val="00DC2CAA"/>
    <w:rPr>
      <w:rFonts w:ascii="Times New Roman" w:eastAsia="Times New Roman" w:hAnsi="Times New Roman" w:cs="Times New Roman"/>
      <w:b/>
      <w:bCs/>
      <w:sz w:val="20"/>
      <w:szCs w:val="20"/>
    </w:rPr>
  </w:style>
  <w:style w:type="character" w:customStyle="1" w:styleId="apple-tab-span">
    <w:name w:val="apple-tab-span"/>
    <w:basedOn w:val="DefaultParagraphFont"/>
    <w:rsid w:val="00494B11"/>
  </w:style>
  <w:style w:type="paragraph" w:styleId="TOCHeading">
    <w:name w:val="TOC Heading"/>
    <w:basedOn w:val="Heading1"/>
    <w:next w:val="Normal"/>
    <w:uiPriority w:val="39"/>
    <w:unhideWhenUsed/>
    <w:qFormat/>
    <w:rsid w:val="005B4D96"/>
    <w:pPr>
      <w:jc w:val="left"/>
      <w:outlineLvl w:val="9"/>
    </w:pPr>
    <w:rPr>
      <w:rFonts w:asciiTheme="majorHAnsi" w:eastAsiaTheme="majorEastAsia" w:hAnsiTheme="majorHAnsi"/>
      <w:caps w:val="0"/>
      <w:color w:val="365F91" w:themeColor="accent1" w:themeShade="BF"/>
      <w:sz w:val="28"/>
      <w:lang w:eastAsia="ja-JP"/>
    </w:rPr>
  </w:style>
  <w:style w:type="paragraph" w:styleId="TOC1">
    <w:name w:val="toc 1"/>
    <w:basedOn w:val="Normal"/>
    <w:next w:val="Normal"/>
    <w:autoRedefine/>
    <w:uiPriority w:val="39"/>
    <w:unhideWhenUsed/>
    <w:rsid w:val="0090075E"/>
    <w:pPr>
      <w:tabs>
        <w:tab w:val="right" w:leader="dot" w:pos="9350"/>
      </w:tabs>
      <w:spacing w:after="100"/>
    </w:pPr>
  </w:style>
  <w:style w:type="character" w:styleId="Hyperlink">
    <w:name w:val="Hyperlink"/>
    <w:basedOn w:val="DefaultParagraphFont"/>
    <w:uiPriority w:val="99"/>
    <w:unhideWhenUsed/>
    <w:rsid w:val="005B4D96"/>
    <w:rPr>
      <w:color w:val="0000FF" w:themeColor="hyperlink"/>
      <w:u w:val="single"/>
    </w:rPr>
  </w:style>
  <w:style w:type="paragraph" w:styleId="BalloonText">
    <w:name w:val="Balloon Text"/>
    <w:basedOn w:val="Normal"/>
    <w:link w:val="BalloonTextChar"/>
    <w:uiPriority w:val="99"/>
    <w:semiHidden/>
    <w:unhideWhenUsed/>
    <w:rsid w:val="005B4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96"/>
    <w:rPr>
      <w:rFonts w:ascii="Tahoma" w:hAnsi="Tahoma" w:cs="Tahoma"/>
      <w:sz w:val="16"/>
      <w:szCs w:val="16"/>
    </w:rPr>
  </w:style>
  <w:style w:type="paragraph" w:styleId="NoSpacing">
    <w:name w:val="No Spacing"/>
    <w:link w:val="NoSpacingChar"/>
    <w:uiPriority w:val="99"/>
    <w:qFormat/>
    <w:rsid w:val="00086464"/>
    <w:pPr>
      <w:spacing w:line="240" w:lineRule="auto"/>
    </w:pPr>
    <w:rPr>
      <w:rFonts w:eastAsiaTheme="minorEastAsia"/>
      <w:lang w:eastAsia="ja-JP"/>
    </w:rPr>
  </w:style>
  <w:style w:type="character" w:customStyle="1" w:styleId="NoSpacingChar">
    <w:name w:val="No Spacing Char"/>
    <w:basedOn w:val="DefaultParagraphFont"/>
    <w:link w:val="NoSpacing"/>
    <w:uiPriority w:val="99"/>
    <w:rsid w:val="00086464"/>
    <w:rPr>
      <w:rFonts w:eastAsiaTheme="minorEastAsia"/>
      <w:lang w:eastAsia="ja-JP"/>
    </w:rPr>
  </w:style>
  <w:style w:type="paragraph" w:styleId="Header">
    <w:name w:val="header"/>
    <w:basedOn w:val="Normal"/>
    <w:link w:val="HeaderChar"/>
    <w:unhideWhenUsed/>
    <w:rsid w:val="009B4BC3"/>
    <w:pPr>
      <w:tabs>
        <w:tab w:val="center" w:pos="4680"/>
        <w:tab w:val="right" w:pos="9360"/>
      </w:tabs>
      <w:spacing w:line="240" w:lineRule="auto"/>
    </w:pPr>
  </w:style>
  <w:style w:type="character" w:customStyle="1" w:styleId="HeaderChar">
    <w:name w:val="Header Char"/>
    <w:basedOn w:val="DefaultParagraphFont"/>
    <w:link w:val="Header"/>
    <w:uiPriority w:val="99"/>
    <w:rsid w:val="009B4BC3"/>
  </w:style>
  <w:style w:type="paragraph" w:styleId="Footer">
    <w:name w:val="footer"/>
    <w:basedOn w:val="Normal"/>
    <w:link w:val="FooterChar"/>
    <w:uiPriority w:val="99"/>
    <w:unhideWhenUsed/>
    <w:rsid w:val="009B4BC3"/>
    <w:pPr>
      <w:tabs>
        <w:tab w:val="center" w:pos="4680"/>
        <w:tab w:val="right" w:pos="9360"/>
      </w:tabs>
      <w:spacing w:line="240" w:lineRule="auto"/>
    </w:pPr>
  </w:style>
  <w:style w:type="character" w:customStyle="1" w:styleId="FooterChar">
    <w:name w:val="Footer Char"/>
    <w:basedOn w:val="DefaultParagraphFont"/>
    <w:link w:val="Footer"/>
    <w:uiPriority w:val="99"/>
    <w:rsid w:val="009B4BC3"/>
  </w:style>
  <w:style w:type="character" w:styleId="CommentReference">
    <w:name w:val="annotation reference"/>
    <w:uiPriority w:val="99"/>
    <w:semiHidden/>
    <w:rsid w:val="00370A9E"/>
    <w:rPr>
      <w:sz w:val="16"/>
      <w:szCs w:val="16"/>
    </w:rPr>
  </w:style>
  <w:style w:type="paragraph" w:styleId="CommentText">
    <w:name w:val="annotation text"/>
    <w:basedOn w:val="Normal"/>
    <w:link w:val="CommentTextChar"/>
    <w:uiPriority w:val="99"/>
    <w:semiHidden/>
    <w:rsid w:val="00370A9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70A9E"/>
    <w:rPr>
      <w:rFonts w:ascii="Times New Roman" w:eastAsia="Times New Roman" w:hAnsi="Times New Roman" w:cs="Times New Roman"/>
      <w:sz w:val="20"/>
      <w:szCs w:val="20"/>
    </w:rPr>
  </w:style>
  <w:style w:type="character" w:styleId="FootnoteReference">
    <w:name w:val="footnote reference"/>
    <w:uiPriority w:val="99"/>
    <w:rsid w:val="00370A9E"/>
    <w:rPr>
      <w:vertAlign w:val="superscript"/>
    </w:rPr>
  </w:style>
  <w:style w:type="paragraph" w:customStyle="1" w:styleId="Normaldble">
    <w:name w:val="Normaldble"/>
    <w:basedOn w:val="Normal"/>
    <w:rsid w:val="00370A9E"/>
    <w:pPr>
      <w:spacing w:line="480" w:lineRule="auto"/>
      <w:ind w:firstLine="720"/>
    </w:pPr>
    <w:rPr>
      <w:rFonts w:eastAsia="Times New Roman" w:cs="Times New Roman"/>
      <w:szCs w:val="24"/>
    </w:rPr>
  </w:style>
  <w:style w:type="paragraph" w:styleId="FootnoteText">
    <w:name w:val="footnote text"/>
    <w:basedOn w:val="Normal"/>
    <w:link w:val="FootnoteTextChar"/>
    <w:uiPriority w:val="99"/>
    <w:rsid w:val="00370A9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70A9E"/>
    <w:rPr>
      <w:rFonts w:ascii="Times New Roman" w:eastAsia="Times New Roman" w:hAnsi="Times New Roman" w:cs="Times New Roman"/>
      <w:sz w:val="20"/>
      <w:szCs w:val="20"/>
    </w:rPr>
  </w:style>
  <w:style w:type="character" w:styleId="PageNumber">
    <w:name w:val="page number"/>
    <w:basedOn w:val="DefaultParagraphFont"/>
    <w:uiPriority w:val="99"/>
    <w:rsid w:val="00370A9E"/>
  </w:style>
  <w:style w:type="paragraph" w:customStyle="1" w:styleId="Default">
    <w:name w:val="Default"/>
    <w:uiPriority w:val="99"/>
    <w:rsid w:val="00370A9E"/>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unhideWhenUsed/>
    <w:rsid w:val="001F4BF6"/>
    <w:pPr>
      <w:tabs>
        <w:tab w:val="right" w:leader="dot" w:pos="9350"/>
      </w:tabs>
      <w:spacing w:after="100"/>
      <w:ind w:left="240"/>
    </w:pPr>
  </w:style>
  <w:style w:type="paragraph" w:styleId="TOC3">
    <w:name w:val="toc 3"/>
    <w:basedOn w:val="Normal"/>
    <w:next w:val="Normal"/>
    <w:autoRedefine/>
    <w:uiPriority w:val="39"/>
    <w:unhideWhenUsed/>
    <w:rsid w:val="0090075E"/>
    <w:pPr>
      <w:tabs>
        <w:tab w:val="right" w:leader="dot" w:pos="9350"/>
      </w:tabs>
      <w:spacing w:after="100"/>
      <w:ind w:left="480"/>
    </w:pPr>
  </w:style>
  <w:style w:type="paragraph" w:styleId="BodyTextIndent3">
    <w:name w:val="Body Text Indent 3"/>
    <w:basedOn w:val="Normal"/>
    <w:link w:val="BodyTextIndent3Char"/>
    <w:rsid w:val="00490E44"/>
    <w:pPr>
      <w:spacing w:line="480" w:lineRule="auto"/>
      <w:ind w:firstLine="360"/>
    </w:pPr>
    <w:rPr>
      <w:rFonts w:eastAsia="Times New Roman" w:cs="Times New Roman"/>
      <w:szCs w:val="20"/>
    </w:rPr>
  </w:style>
  <w:style w:type="character" w:customStyle="1" w:styleId="BodyTextIndent3Char">
    <w:name w:val="Body Text Indent 3 Char"/>
    <w:basedOn w:val="DefaultParagraphFont"/>
    <w:link w:val="BodyTextIndent3"/>
    <w:rsid w:val="00490E44"/>
    <w:rPr>
      <w:rFonts w:ascii="Times New Roman" w:eastAsia="Times New Roman" w:hAnsi="Times New Roman" w:cs="Times New Roman"/>
      <w:sz w:val="24"/>
      <w:szCs w:val="20"/>
    </w:rPr>
  </w:style>
  <w:style w:type="paragraph" w:styleId="ListParagraph">
    <w:name w:val="List Paragraph"/>
    <w:basedOn w:val="Normal"/>
    <w:uiPriority w:val="34"/>
    <w:qFormat/>
    <w:rsid w:val="00A674F5"/>
    <w:pPr>
      <w:ind w:left="720"/>
      <w:contextualSpacing/>
    </w:pPr>
  </w:style>
  <w:style w:type="paragraph" w:customStyle="1" w:styleId="bchtxflush">
    <w:name w:val="bch_tx.flush"/>
    <w:basedOn w:val="Normal"/>
    <w:rsid w:val="00A879A3"/>
    <w:pPr>
      <w:spacing w:line="240" w:lineRule="exact"/>
      <w:jc w:val="both"/>
    </w:pPr>
    <w:rPr>
      <w:rFonts w:ascii="New York" w:eastAsia="Times New Roman" w:hAnsi="New York" w:cs="New York"/>
      <w:sz w:val="20"/>
      <w:szCs w:val="20"/>
    </w:rPr>
  </w:style>
  <w:style w:type="paragraph" w:customStyle="1" w:styleId="bchtx">
    <w:name w:val="bch_tx"/>
    <w:basedOn w:val="Normal"/>
    <w:rsid w:val="00A879A3"/>
    <w:pPr>
      <w:spacing w:line="240" w:lineRule="exact"/>
      <w:ind w:firstLine="480"/>
      <w:jc w:val="both"/>
    </w:pPr>
    <w:rPr>
      <w:rFonts w:ascii="New York" w:eastAsia="Times New Roman" w:hAnsi="New York" w:cs="New York"/>
      <w:sz w:val="20"/>
      <w:szCs w:val="20"/>
    </w:rPr>
  </w:style>
  <w:style w:type="paragraph" w:customStyle="1" w:styleId="bchha">
    <w:name w:val="bch_ha"/>
    <w:basedOn w:val="Normal"/>
    <w:rsid w:val="00A879A3"/>
    <w:pPr>
      <w:spacing w:before="540" w:after="160" w:line="260" w:lineRule="exact"/>
      <w:ind w:right="1680"/>
    </w:pPr>
    <w:rPr>
      <w:rFonts w:ascii="New York" w:eastAsia="Times New Roman" w:hAnsi="New York" w:cs="New York"/>
      <w:caps/>
      <w:szCs w:val="20"/>
    </w:rPr>
  </w:style>
  <w:style w:type="paragraph" w:customStyle="1" w:styleId="bchhb">
    <w:name w:val="bch_hb"/>
    <w:basedOn w:val="Normal"/>
    <w:rsid w:val="00A879A3"/>
    <w:pPr>
      <w:spacing w:before="340" w:after="120" w:line="260" w:lineRule="exact"/>
    </w:pPr>
    <w:rPr>
      <w:rFonts w:ascii="New York" w:eastAsia="Times New Roman" w:hAnsi="New York" w:cs="New York"/>
      <w:sz w:val="22"/>
      <w:szCs w:val="20"/>
    </w:rPr>
  </w:style>
  <w:style w:type="paragraph" w:customStyle="1" w:styleId="bchhcemspacethentext">
    <w:name w:val="bch_hc.em.space.then.text"/>
    <w:basedOn w:val="Normal"/>
    <w:rsid w:val="00A879A3"/>
    <w:pPr>
      <w:spacing w:before="360" w:line="240" w:lineRule="exact"/>
      <w:jc w:val="both"/>
    </w:pPr>
    <w:rPr>
      <w:rFonts w:ascii="New York" w:eastAsia="Times New Roman" w:hAnsi="New York" w:cs="New York"/>
      <w:sz w:val="20"/>
      <w:szCs w:val="20"/>
    </w:rPr>
  </w:style>
  <w:style w:type="paragraph" w:customStyle="1" w:styleId="bchlnfirst">
    <w:name w:val="bch_ln.first"/>
    <w:basedOn w:val="Normal"/>
    <w:rsid w:val="00A879A3"/>
    <w:pPr>
      <w:tabs>
        <w:tab w:val="decimal" w:pos="660"/>
      </w:tabs>
      <w:spacing w:before="360" w:line="240" w:lineRule="exact"/>
      <w:ind w:left="840" w:hanging="840"/>
    </w:pPr>
    <w:rPr>
      <w:rFonts w:ascii="New York" w:eastAsia="Times New Roman" w:hAnsi="New York" w:cs="New York"/>
      <w:sz w:val="20"/>
      <w:szCs w:val="20"/>
    </w:rPr>
  </w:style>
  <w:style w:type="paragraph" w:customStyle="1" w:styleId="bchlnmiddle">
    <w:name w:val="bch_ln.middle"/>
    <w:basedOn w:val="Normal"/>
    <w:rsid w:val="00A879A3"/>
    <w:pPr>
      <w:tabs>
        <w:tab w:val="decimal" w:pos="660"/>
      </w:tabs>
      <w:spacing w:line="240" w:lineRule="exact"/>
      <w:ind w:left="840" w:hanging="840"/>
    </w:pPr>
    <w:rPr>
      <w:rFonts w:ascii="New York" w:eastAsia="Times New Roman" w:hAnsi="New York" w:cs="New York"/>
      <w:sz w:val="20"/>
      <w:szCs w:val="20"/>
    </w:rPr>
  </w:style>
  <w:style w:type="paragraph" w:customStyle="1" w:styleId="bchlnlast">
    <w:name w:val="bch_ln.last"/>
    <w:basedOn w:val="Normal"/>
    <w:rsid w:val="00A879A3"/>
    <w:pPr>
      <w:tabs>
        <w:tab w:val="decimal" w:pos="660"/>
      </w:tabs>
      <w:spacing w:after="360" w:line="240" w:lineRule="exact"/>
      <w:ind w:left="840" w:hanging="840"/>
    </w:pPr>
    <w:rPr>
      <w:rFonts w:ascii="New York" w:eastAsia="Times New Roman" w:hAnsi="New York" w:cs="New York"/>
      <w:sz w:val="20"/>
      <w:szCs w:val="20"/>
    </w:rPr>
  </w:style>
  <w:style w:type="paragraph" w:customStyle="1" w:styleId="bchhdemspacethentext">
    <w:name w:val="bch_hd.em.space.then.text"/>
    <w:basedOn w:val="Normal"/>
    <w:rsid w:val="00A879A3"/>
    <w:pPr>
      <w:spacing w:before="240" w:line="240" w:lineRule="exact"/>
      <w:jc w:val="both"/>
    </w:pPr>
    <w:rPr>
      <w:rFonts w:ascii="New York" w:eastAsia="Times New Roman" w:hAnsi="New York" w:cs="New York"/>
      <w:sz w:val="20"/>
      <w:szCs w:val="20"/>
    </w:rPr>
  </w:style>
  <w:style w:type="paragraph" w:customStyle="1" w:styleId="bchlbfirst">
    <w:name w:val="bch_lb.first"/>
    <w:basedOn w:val="Normal"/>
    <w:rsid w:val="00A879A3"/>
    <w:pPr>
      <w:spacing w:before="360" w:line="240" w:lineRule="exact"/>
      <w:ind w:left="680" w:hanging="200"/>
      <w:jc w:val="both"/>
    </w:pPr>
    <w:rPr>
      <w:rFonts w:ascii="New York" w:eastAsia="Times New Roman" w:hAnsi="New York" w:cs="New York"/>
      <w:sz w:val="20"/>
      <w:szCs w:val="20"/>
    </w:rPr>
  </w:style>
  <w:style w:type="paragraph" w:customStyle="1" w:styleId="bchlbmiddle">
    <w:name w:val="bch_lb.middle"/>
    <w:basedOn w:val="Normal"/>
    <w:rsid w:val="00A879A3"/>
    <w:pPr>
      <w:spacing w:line="240" w:lineRule="exact"/>
      <w:ind w:left="680" w:hanging="200"/>
      <w:jc w:val="both"/>
    </w:pPr>
    <w:rPr>
      <w:rFonts w:ascii="New York" w:eastAsia="Times New Roman" w:hAnsi="New York" w:cs="New York"/>
      <w:sz w:val="20"/>
      <w:szCs w:val="20"/>
    </w:rPr>
  </w:style>
  <w:style w:type="paragraph" w:customStyle="1" w:styleId="bchlblast">
    <w:name w:val="bch_lb.last"/>
    <w:basedOn w:val="Normal"/>
    <w:rsid w:val="00A879A3"/>
    <w:pPr>
      <w:spacing w:after="360" w:line="240" w:lineRule="exact"/>
      <w:ind w:left="680" w:hanging="200"/>
      <w:jc w:val="both"/>
    </w:pPr>
    <w:rPr>
      <w:rFonts w:ascii="New York" w:eastAsia="Times New Roman" w:hAnsi="New York" w:cs="New York"/>
      <w:sz w:val="20"/>
      <w:szCs w:val="20"/>
    </w:rPr>
  </w:style>
  <w:style w:type="paragraph" w:customStyle="1" w:styleId="bchluafirst">
    <w:name w:val="bch_lu_a.first"/>
    <w:basedOn w:val="Normal"/>
    <w:rsid w:val="00A879A3"/>
    <w:pPr>
      <w:spacing w:before="360" w:line="240" w:lineRule="exact"/>
      <w:ind w:left="360" w:hanging="360"/>
    </w:pPr>
    <w:rPr>
      <w:rFonts w:ascii="New York" w:eastAsia="Times New Roman" w:hAnsi="New York" w:cs="New York"/>
      <w:sz w:val="20"/>
      <w:szCs w:val="20"/>
    </w:rPr>
  </w:style>
  <w:style w:type="paragraph" w:customStyle="1" w:styleId="bchluamiddle">
    <w:name w:val="bch_lu_a.middle"/>
    <w:basedOn w:val="Normal"/>
    <w:rsid w:val="00A879A3"/>
    <w:pPr>
      <w:spacing w:line="240" w:lineRule="exact"/>
      <w:ind w:left="360" w:hanging="360"/>
    </w:pPr>
    <w:rPr>
      <w:rFonts w:ascii="New York" w:eastAsia="Times New Roman" w:hAnsi="New York" w:cs="New York"/>
      <w:sz w:val="20"/>
      <w:szCs w:val="20"/>
    </w:rPr>
  </w:style>
  <w:style w:type="paragraph" w:customStyle="1" w:styleId="bchlualast">
    <w:name w:val="bch_lu_a.last"/>
    <w:basedOn w:val="Normal"/>
    <w:rsid w:val="00A879A3"/>
    <w:pPr>
      <w:spacing w:after="360" w:line="240" w:lineRule="exact"/>
      <w:ind w:left="360" w:hanging="360"/>
    </w:pPr>
    <w:rPr>
      <w:rFonts w:ascii="New York" w:eastAsia="Times New Roman" w:hAnsi="New York" w:cs="New York"/>
      <w:sz w:val="20"/>
      <w:szCs w:val="20"/>
    </w:rPr>
  </w:style>
  <w:style w:type="paragraph" w:customStyle="1" w:styleId="bchtbcn">
    <w:name w:val="bch_tbcn"/>
    <w:basedOn w:val="Normal"/>
    <w:rsid w:val="00A879A3"/>
    <w:pPr>
      <w:pBdr>
        <w:bottom w:val="single" w:sz="6" w:space="0" w:color="auto"/>
      </w:pBdr>
      <w:spacing w:before="120" w:after="120" w:line="240" w:lineRule="exact"/>
    </w:pPr>
    <w:rPr>
      <w:rFonts w:ascii="New York" w:eastAsia="Times New Roman" w:hAnsi="New York" w:cs="New York"/>
      <w:sz w:val="20"/>
      <w:szCs w:val="20"/>
    </w:rPr>
  </w:style>
  <w:style w:type="paragraph" w:customStyle="1" w:styleId="bchtbtxa">
    <w:name w:val="bch_tbtx_a"/>
    <w:basedOn w:val="Normal"/>
    <w:rsid w:val="00A879A3"/>
    <w:pPr>
      <w:tabs>
        <w:tab w:val="decimal" w:pos="3080"/>
        <w:tab w:val="right" w:pos="3640"/>
        <w:tab w:val="decimal" w:pos="4320"/>
        <w:tab w:val="right" w:pos="4980"/>
        <w:tab w:val="decimal" w:pos="5920"/>
        <w:tab w:val="right" w:pos="6480"/>
      </w:tabs>
      <w:spacing w:line="240" w:lineRule="exact"/>
    </w:pPr>
    <w:rPr>
      <w:rFonts w:ascii="New York" w:eastAsia="Times New Roman" w:hAnsi="New York" w:cs="New York"/>
      <w:sz w:val="20"/>
      <w:szCs w:val="20"/>
    </w:rPr>
  </w:style>
  <w:style w:type="paragraph" w:customStyle="1" w:styleId="bchtbtxawithendingrule">
    <w:name w:val="bch_tbtx_a.with.ending.rule"/>
    <w:basedOn w:val="Normal"/>
    <w:rsid w:val="00A879A3"/>
    <w:pPr>
      <w:pBdr>
        <w:bottom w:val="single" w:sz="6" w:space="0" w:color="auto"/>
      </w:pBdr>
      <w:tabs>
        <w:tab w:val="decimal" w:pos="3080"/>
        <w:tab w:val="right" w:pos="3640"/>
        <w:tab w:val="decimal" w:pos="4320"/>
        <w:tab w:val="right" w:pos="4980"/>
        <w:tab w:val="decimal" w:pos="5920"/>
        <w:tab w:val="right" w:pos="6480"/>
      </w:tabs>
      <w:spacing w:after="120" w:line="240" w:lineRule="exact"/>
    </w:pPr>
    <w:rPr>
      <w:rFonts w:ascii="New York" w:eastAsia="Times New Roman" w:hAnsi="New York" w:cs="New York"/>
      <w:sz w:val="20"/>
      <w:szCs w:val="20"/>
    </w:rPr>
  </w:style>
  <w:style w:type="paragraph" w:styleId="CommentSubject">
    <w:name w:val="annotation subject"/>
    <w:basedOn w:val="CommentText"/>
    <w:next w:val="CommentText"/>
    <w:link w:val="CommentSubjectChar"/>
    <w:uiPriority w:val="99"/>
    <w:semiHidden/>
    <w:rsid w:val="00A879A3"/>
    <w:rPr>
      <w:b/>
      <w:bCs/>
    </w:rPr>
  </w:style>
  <w:style w:type="character" w:customStyle="1" w:styleId="CommentSubjectChar">
    <w:name w:val="Comment Subject Char"/>
    <w:basedOn w:val="CommentTextChar"/>
    <w:link w:val="CommentSubject"/>
    <w:uiPriority w:val="99"/>
    <w:semiHidden/>
    <w:rsid w:val="00A879A3"/>
    <w:rPr>
      <w:rFonts w:ascii="Times New Roman" w:eastAsia="Times New Roman" w:hAnsi="Times New Roman" w:cs="Times New Roman"/>
      <w:b/>
      <w:bCs/>
      <w:sz w:val="20"/>
      <w:szCs w:val="20"/>
    </w:rPr>
  </w:style>
  <w:style w:type="paragraph" w:customStyle="1" w:styleId="bchfn">
    <w:name w:val="bch_fn"/>
    <w:basedOn w:val="Normal"/>
    <w:next w:val="Normal"/>
    <w:rsid w:val="00A879A3"/>
    <w:pPr>
      <w:spacing w:line="200" w:lineRule="exact"/>
    </w:pPr>
    <w:rPr>
      <w:rFonts w:ascii="New York" w:eastAsia="Times New Roman" w:hAnsi="New York" w:cs="New York"/>
      <w:sz w:val="16"/>
      <w:szCs w:val="20"/>
    </w:rPr>
  </w:style>
  <w:style w:type="paragraph" w:styleId="BodyText">
    <w:name w:val="Body Text"/>
    <w:basedOn w:val="Normal"/>
    <w:link w:val="BodyTextChar"/>
    <w:rsid w:val="00A879A3"/>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A879A3"/>
    <w:rPr>
      <w:rFonts w:ascii="Times New Roman" w:eastAsia="Times New Roman" w:hAnsi="Times New Roman" w:cs="Times New Roman"/>
      <w:sz w:val="24"/>
      <w:szCs w:val="24"/>
    </w:rPr>
  </w:style>
  <w:style w:type="paragraph" w:styleId="BodyText2">
    <w:name w:val="Body Text 2"/>
    <w:basedOn w:val="Normal"/>
    <w:link w:val="BodyText2Char"/>
    <w:rsid w:val="00A879A3"/>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A879A3"/>
    <w:rPr>
      <w:rFonts w:ascii="Times New Roman" w:eastAsia="Times New Roman" w:hAnsi="Times New Roman" w:cs="Times New Roman"/>
      <w:sz w:val="24"/>
      <w:szCs w:val="24"/>
    </w:rPr>
  </w:style>
  <w:style w:type="paragraph" w:customStyle="1" w:styleId="1">
    <w:name w:val="_1"/>
    <w:basedOn w:val="Normal"/>
    <w:rsid w:val="00A879A3"/>
    <w:pPr>
      <w:widowControl w:val="0"/>
      <w:spacing w:line="240" w:lineRule="auto"/>
      <w:ind w:left="720" w:hanging="720"/>
    </w:pPr>
    <w:rPr>
      <w:rFonts w:eastAsia="Times New Roman" w:cs="Times New Roman"/>
      <w:szCs w:val="20"/>
    </w:rPr>
  </w:style>
  <w:style w:type="table" w:styleId="TableGrid">
    <w:name w:val="Table Grid"/>
    <w:basedOn w:val="TableNormal"/>
    <w:uiPriority w:val="59"/>
    <w:rsid w:val="00A879A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879A3"/>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A879A3"/>
    <w:rPr>
      <w:rFonts w:ascii="Times New Roman" w:eastAsia="Times New Roman" w:hAnsi="Times New Roman" w:cs="Times New Roman"/>
      <w:sz w:val="24"/>
      <w:szCs w:val="24"/>
    </w:rPr>
  </w:style>
  <w:style w:type="paragraph" w:styleId="BodyText3">
    <w:name w:val="Body Text 3"/>
    <w:basedOn w:val="Normal"/>
    <w:link w:val="BodyText3Char"/>
    <w:rsid w:val="00A879A3"/>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879A3"/>
    <w:rPr>
      <w:rFonts w:ascii="Times New Roman" w:eastAsia="Times New Roman" w:hAnsi="Times New Roman" w:cs="Times New Roman"/>
      <w:sz w:val="16"/>
      <w:szCs w:val="16"/>
    </w:rPr>
  </w:style>
  <w:style w:type="paragraph" w:customStyle="1" w:styleId="Heading1mf">
    <w:name w:val="Heading1mf"/>
    <w:basedOn w:val="Heading1"/>
    <w:uiPriority w:val="99"/>
    <w:rsid w:val="00A879A3"/>
    <w:pPr>
      <w:keepLines w:val="0"/>
      <w:spacing w:after="60"/>
      <w:jc w:val="left"/>
    </w:pPr>
    <w:rPr>
      <w:rFonts w:cs="Times New Roman"/>
      <w:bCs w:val="0"/>
      <w:caps w:val="0"/>
      <w:kern w:val="28"/>
      <w:szCs w:val="24"/>
    </w:rPr>
  </w:style>
  <w:style w:type="paragraph" w:styleId="HTMLPreformatted">
    <w:name w:val="HTML Preformatted"/>
    <w:basedOn w:val="Normal"/>
    <w:link w:val="HTMLPreformattedChar"/>
    <w:rsid w:val="00A8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879A3"/>
    <w:rPr>
      <w:rFonts w:ascii="Courier New" w:eastAsia="Times New Roman" w:hAnsi="Courier New" w:cs="Courier New"/>
      <w:sz w:val="20"/>
      <w:szCs w:val="20"/>
    </w:rPr>
  </w:style>
  <w:style w:type="paragraph" w:customStyle="1" w:styleId="SFRPReportAuthors">
    <w:name w:val="SFRP_Report_Authors"/>
    <w:uiPriority w:val="99"/>
    <w:rsid w:val="00A879A3"/>
    <w:pPr>
      <w:spacing w:line="240" w:lineRule="auto"/>
      <w:jc w:val="right"/>
    </w:pPr>
    <w:rPr>
      <w:rFonts w:ascii="Times New Roman" w:eastAsia="Times New Roman" w:hAnsi="Times New Roman" w:cs="Times New Roman"/>
      <w:b/>
      <w:sz w:val="32"/>
      <w:szCs w:val="24"/>
    </w:rPr>
  </w:style>
  <w:style w:type="paragraph" w:styleId="Revision">
    <w:name w:val="Revision"/>
    <w:hidden/>
    <w:uiPriority w:val="99"/>
    <w:rsid w:val="00A879A3"/>
    <w:pPr>
      <w:spacing w:line="240" w:lineRule="auto"/>
    </w:pPr>
    <w:rPr>
      <w:rFonts w:ascii="Times New Roman" w:eastAsia="Times New Roman" w:hAnsi="Times New Roman" w:cs="Times New Roman"/>
      <w:sz w:val="24"/>
      <w:szCs w:val="24"/>
    </w:rPr>
  </w:style>
  <w:style w:type="paragraph" w:customStyle="1" w:styleId="Bullets">
    <w:name w:val="Bullets"/>
    <w:basedOn w:val="Normal"/>
    <w:rsid w:val="00A879A3"/>
    <w:pPr>
      <w:numPr>
        <w:numId w:val="1"/>
      </w:numPr>
      <w:spacing w:line="240" w:lineRule="auto"/>
    </w:pPr>
    <w:rPr>
      <w:rFonts w:eastAsia="Times New Roman" w:cs="Arial"/>
      <w:szCs w:val="24"/>
    </w:rPr>
  </w:style>
  <w:style w:type="paragraph" w:customStyle="1" w:styleId="Style3">
    <w:name w:val="Style3"/>
    <w:basedOn w:val="Normal"/>
    <w:uiPriority w:val="99"/>
    <w:rsid w:val="00A879A3"/>
    <w:pPr>
      <w:widowControl w:val="0"/>
      <w:autoSpaceDE w:val="0"/>
      <w:autoSpaceDN w:val="0"/>
      <w:adjustRightInd w:val="0"/>
      <w:spacing w:line="240" w:lineRule="exact"/>
      <w:jc w:val="both"/>
    </w:pPr>
    <w:rPr>
      <w:rFonts w:ascii="Book Antiqua" w:eastAsiaTheme="minorEastAsia" w:hAnsi="Book Antiqua" w:cs="Times New Roman"/>
      <w:szCs w:val="24"/>
    </w:rPr>
  </w:style>
  <w:style w:type="paragraph" w:customStyle="1" w:styleId="Style4">
    <w:name w:val="Style4"/>
    <w:basedOn w:val="Normal"/>
    <w:uiPriority w:val="99"/>
    <w:rsid w:val="00A879A3"/>
    <w:pPr>
      <w:widowControl w:val="0"/>
      <w:autoSpaceDE w:val="0"/>
      <w:autoSpaceDN w:val="0"/>
      <w:adjustRightInd w:val="0"/>
      <w:spacing w:line="240" w:lineRule="exact"/>
      <w:ind w:firstLine="480"/>
      <w:jc w:val="both"/>
    </w:pPr>
    <w:rPr>
      <w:rFonts w:ascii="Book Antiqua" w:eastAsiaTheme="minorEastAsia" w:hAnsi="Book Antiqua" w:cs="Times New Roman"/>
      <w:szCs w:val="24"/>
    </w:rPr>
  </w:style>
  <w:style w:type="character" w:customStyle="1" w:styleId="FontStyle131">
    <w:name w:val="Font Style131"/>
    <w:basedOn w:val="DefaultParagraphFont"/>
    <w:uiPriority w:val="99"/>
    <w:rsid w:val="00A879A3"/>
    <w:rPr>
      <w:rFonts w:ascii="Book Antiqua" w:hAnsi="Book Antiqua" w:cs="Book Antiqua"/>
      <w:color w:val="000000"/>
      <w:sz w:val="18"/>
      <w:szCs w:val="18"/>
    </w:rPr>
  </w:style>
  <w:style w:type="character" w:customStyle="1" w:styleId="FontStyle28">
    <w:name w:val="Font Style28"/>
    <w:uiPriority w:val="99"/>
    <w:rsid w:val="00A879A3"/>
    <w:rPr>
      <w:rFonts w:ascii="Book Antiqua" w:hAnsi="Book Antiqua" w:cs="Book Antiqua"/>
      <w:color w:val="000000"/>
      <w:sz w:val="16"/>
      <w:szCs w:val="16"/>
    </w:rPr>
  </w:style>
  <w:style w:type="character" w:customStyle="1" w:styleId="slug-vol">
    <w:name w:val="slug-vol"/>
    <w:basedOn w:val="DefaultParagraphFont"/>
    <w:rsid w:val="00A879A3"/>
  </w:style>
  <w:style w:type="character" w:customStyle="1" w:styleId="slug-issue">
    <w:name w:val="slug-issue"/>
    <w:basedOn w:val="DefaultParagraphFont"/>
    <w:rsid w:val="00A879A3"/>
  </w:style>
  <w:style w:type="character" w:styleId="HTMLCite">
    <w:name w:val="HTML Cite"/>
    <w:uiPriority w:val="99"/>
    <w:semiHidden/>
    <w:unhideWhenUsed/>
    <w:rsid w:val="00A879A3"/>
    <w:rPr>
      <w:i/>
      <w:iCs/>
    </w:rPr>
  </w:style>
  <w:style w:type="character" w:customStyle="1" w:styleId="slug-pages">
    <w:name w:val="slug-pages"/>
    <w:basedOn w:val="DefaultParagraphFont"/>
    <w:rsid w:val="00A879A3"/>
  </w:style>
  <w:style w:type="character" w:styleId="Emphasis">
    <w:name w:val="Emphasis"/>
    <w:uiPriority w:val="20"/>
    <w:qFormat/>
    <w:rsid w:val="00A879A3"/>
    <w:rPr>
      <w:i/>
      <w:iCs/>
    </w:rPr>
  </w:style>
  <w:style w:type="character" w:customStyle="1" w:styleId="FontStyle41">
    <w:name w:val="Font Style41"/>
    <w:uiPriority w:val="99"/>
    <w:rsid w:val="00A879A3"/>
    <w:rPr>
      <w:rFonts w:ascii="Garamond" w:hAnsi="Garamond" w:cs="Garamond" w:hint="default"/>
      <w:color w:val="000000"/>
      <w:sz w:val="20"/>
      <w:szCs w:val="20"/>
    </w:rPr>
  </w:style>
  <w:style w:type="character" w:customStyle="1" w:styleId="st">
    <w:name w:val="st"/>
    <w:basedOn w:val="DefaultParagraphFont"/>
    <w:rsid w:val="00A879A3"/>
  </w:style>
  <w:style w:type="character" w:customStyle="1" w:styleId="FontStyle27">
    <w:name w:val="Font Style27"/>
    <w:uiPriority w:val="99"/>
    <w:rsid w:val="00A879A3"/>
    <w:rPr>
      <w:rFonts w:ascii="Book Antiqua" w:hAnsi="Book Antiqua" w:cs="Book Antiqua" w:hint="default"/>
      <w:color w:val="000000"/>
      <w:sz w:val="16"/>
      <w:szCs w:val="16"/>
    </w:rPr>
  </w:style>
  <w:style w:type="character" w:customStyle="1" w:styleId="apple-converted-space">
    <w:name w:val="apple-converted-space"/>
    <w:basedOn w:val="DefaultParagraphFont"/>
    <w:rsid w:val="00A879A3"/>
  </w:style>
  <w:style w:type="paragraph" w:styleId="NormalWeb">
    <w:name w:val="Normal (Web)"/>
    <w:basedOn w:val="Normal"/>
    <w:uiPriority w:val="99"/>
    <w:semiHidden/>
    <w:unhideWhenUsed/>
    <w:rsid w:val="00A879A3"/>
    <w:pPr>
      <w:spacing w:before="100" w:beforeAutospacing="1" w:after="100" w:afterAutospacing="1" w:line="240" w:lineRule="auto"/>
    </w:pPr>
    <w:rPr>
      <w:rFonts w:eastAsia="Times New Roman" w:cs="Times New Roman"/>
      <w:szCs w:val="24"/>
    </w:rPr>
  </w:style>
  <w:style w:type="character" w:customStyle="1" w:styleId="headnote">
    <w:name w:val="headnote"/>
    <w:basedOn w:val="DefaultParagraphFont"/>
    <w:rsid w:val="00A879A3"/>
  </w:style>
  <w:style w:type="character" w:customStyle="1" w:styleId="histyear">
    <w:name w:val="hist_year"/>
    <w:basedOn w:val="DefaultParagraphFont"/>
    <w:rsid w:val="00A879A3"/>
  </w:style>
  <w:style w:type="character" w:customStyle="1" w:styleId="histchapter">
    <w:name w:val="hist_chapter"/>
    <w:basedOn w:val="DefaultParagraphFont"/>
    <w:rsid w:val="00A879A3"/>
  </w:style>
  <w:style w:type="character" w:customStyle="1" w:styleId="histpart">
    <w:name w:val="hist_part"/>
    <w:basedOn w:val="DefaultParagraphFont"/>
    <w:rsid w:val="00A879A3"/>
  </w:style>
  <w:style w:type="character" w:customStyle="1" w:styleId="histsection">
    <w:name w:val="hist_section"/>
    <w:basedOn w:val="DefaultParagraphFont"/>
    <w:rsid w:val="00A879A3"/>
  </w:style>
  <w:style w:type="character" w:customStyle="1" w:styleId="histeffect">
    <w:name w:val="hist_effect"/>
    <w:basedOn w:val="DefaultParagraphFont"/>
    <w:rsid w:val="00A879A3"/>
  </w:style>
  <w:style w:type="character" w:styleId="FollowedHyperlink">
    <w:name w:val="FollowedHyperlink"/>
    <w:basedOn w:val="DefaultParagraphFont"/>
    <w:uiPriority w:val="99"/>
    <w:semiHidden/>
    <w:unhideWhenUsed/>
    <w:rsid w:val="00F531E3"/>
    <w:rPr>
      <w:color w:val="800080" w:themeColor="followedHyperlink"/>
      <w:u w:val="single"/>
    </w:rPr>
  </w:style>
  <w:style w:type="paragraph" w:styleId="EndnoteText">
    <w:name w:val="endnote text"/>
    <w:basedOn w:val="Normal"/>
    <w:link w:val="EndnoteTextChar"/>
    <w:uiPriority w:val="99"/>
    <w:unhideWhenUsed/>
    <w:rsid w:val="00883C73"/>
    <w:pPr>
      <w:spacing w:line="240" w:lineRule="auto"/>
    </w:pPr>
    <w:rPr>
      <w:sz w:val="20"/>
      <w:szCs w:val="20"/>
    </w:rPr>
  </w:style>
  <w:style w:type="character" w:customStyle="1" w:styleId="EndnoteTextChar">
    <w:name w:val="Endnote Text Char"/>
    <w:basedOn w:val="DefaultParagraphFont"/>
    <w:link w:val="EndnoteText"/>
    <w:uiPriority w:val="99"/>
    <w:rsid w:val="00883C73"/>
    <w:rPr>
      <w:rFonts w:ascii="Times New Roman" w:hAnsi="Times New Roman"/>
      <w:sz w:val="20"/>
      <w:szCs w:val="20"/>
    </w:rPr>
  </w:style>
  <w:style w:type="character" w:styleId="EndnoteReference">
    <w:name w:val="endnote reference"/>
    <w:basedOn w:val="DefaultParagraphFont"/>
    <w:uiPriority w:val="99"/>
    <w:semiHidden/>
    <w:unhideWhenUsed/>
    <w:rsid w:val="00883C73"/>
    <w:rPr>
      <w:vertAlign w:val="superscript"/>
    </w:rPr>
  </w:style>
  <w:style w:type="paragraph" w:styleId="PlainText">
    <w:name w:val="Plain Text"/>
    <w:basedOn w:val="Normal"/>
    <w:link w:val="PlainTextChar"/>
    <w:uiPriority w:val="99"/>
    <w:unhideWhenUsed/>
    <w:rsid w:val="007B26C7"/>
    <w:pPr>
      <w:spacing w:line="240" w:lineRule="auto"/>
    </w:pPr>
    <w:rPr>
      <w:rFonts w:ascii="Consolas" w:hAnsi="Consolas"/>
      <w:i/>
      <w:sz w:val="21"/>
      <w:szCs w:val="21"/>
    </w:rPr>
  </w:style>
  <w:style w:type="character" w:customStyle="1" w:styleId="PlainTextChar">
    <w:name w:val="Plain Text Char"/>
    <w:basedOn w:val="DefaultParagraphFont"/>
    <w:link w:val="PlainText"/>
    <w:uiPriority w:val="99"/>
    <w:rsid w:val="007B26C7"/>
    <w:rPr>
      <w:rFonts w:ascii="Consolas" w:hAnsi="Consolas"/>
      <w:i/>
      <w:sz w:val="21"/>
      <w:szCs w:val="21"/>
    </w:rPr>
  </w:style>
  <w:style w:type="paragraph" w:customStyle="1" w:styleId="Startup">
    <w:name w:val="Startup"/>
    <w:basedOn w:val="Normal"/>
    <w:rsid w:val="007B26C7"/>
    <w:pPr>
      <w:spacing w:line="240" w:lineRule="auto"/>
    </w:pPr>
    <w:rPr>
      <w:rFonts w:ascii="Times" w:eastAsia="Times New Roman" w:hAnsi="Times" w:cs="Times New Roman"/>
      <w:szCs w:val="20"/>
    </w:rPr>
  </w:style>
  <w:style w:type="table" w:styleId="LightShading">
    <w:name w:val="Light Shading"/>
    <w:basedOn w:val="TableNormal"/>
    <w:uiPriority w:val="60"/>
    <w:rsid w:val="007B26C7"/>
    <w:pPr>
      <w:spacing w:line="240" w:lineRule="auto"/>
    </w:pPr>
    <w:rPr>
      <w:rFonts w:ascii="Times New Roman" w:eastAsiaTheme="minorEastAsia" w:hAnsi="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1640A5"/>
    <w:pPr>
      <w:spacing w:after="100" w:line="240" w:lineRule="auto"/>
      <w:ind w:left="720"/>
    </w:pPr>
    <w:rPr>
      <w:rFonts w:asciiTheme="minorHAnsi" w:eastAsiaTheme="minorEastAsia" w:hAnsiTheme="minorHAnsi"/>
      <w:szCs w:val="24"/>
    </w:rPr>
  </w:style>
  <w:style w:type="paragraph" w:styleId="TOC5">
    <w:name w:val="toc 5"/>
    <w:basedOn w:val="Normal"/>
    <w:next w:val="Normal"/>
    <w:autoRedefine/>
    <w:uiPriority w:val="39"/>
    <w:unhideWhenUsed/>
    <w:rsid w:val="001640A5"/>
    <w:pPr>
      <w:spacing w:after="100" w:line="240" w:lineRule="auto"/>
      <w:ind w:left="960"/>
    </w:pPr>
    <w:rPr>
      <w:rFonts w:asciiTheme="minorHAnsi" w:eastAsiaTheme="minorEastAsia" w:hAnsiTheme="minorHAnsi"/>
      <w:szCs w:val="24"/>
    </w:rPr>
  </w:style>
  <w:style w:type="paragraph" w:styleId="TOC6">
    <w:name w:val="toc 6"/>
    <w:basedOn w:val="Normal"/>
    <w:next w:val="Normal"/>
    <w:autoRedefine/>
    <w:uiPriority w:val="39"/>
    <w:unhideWhenUsed/>
    <w:rsid w:val="001640A5"/>
    <w:pPr>
      <w:spacing w:after="100" w:line="240" w:lineRule="auto"/>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1640A5"/>
    <w:pPr>
      <w:spacing w:after="100" w:line="240" w:lineRule="auto"/>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1640A5"/>
    <w:pPr>
      <w:spacing w:after="100" w:line="240" w:lineRule="auto"/>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1640A5"/>
    <w:pPr>
      <w:spacing w:after="100" w:line="240" w:lineRule="auto"/>
      <w:ind w:left="1920"/>
    </w:pPr>
    <w:rPr>
      <w:rFonts w:asciiTheme="minorHAnsi" w:eastAsiaTheme="minorEastAsia" w:hAnsiTheme="minorHAnsi"/>
      <w:szCs w:val="24"/>
    </w:rPr>
  </w:style>
  <w:style w:type="paragraph" w:customStyle="1" w:styleId="Style11">
    <w:name w:val="Style11"/>
    <w:basedOn w:val="Normal"/>
    <w:uiPriority w:val="99"/>
    <w:rsid w:val="00DE6D59"/>
    <w:pPr>
      <w:widowControl w:val="0"/>
      <w:autoSpaceDE w:val="0"/>
      <w:autoSpaceDN w:val="0"/>
      <w:adjustRightInd w:val="0"/>
      <w:spacing w:line="240" w:lineRule="exact"/>
      <w:ind w:hanging="192"/>
      <w:jc w:val="both"/>
    </w:pPr>
    <w:rPr>
      <w:rFonts w:ascii="Book Antiqua" w:eastAsia="Times New Roman" w:hAnsi="Book Antiqua" w:cs="Book Antiqua"/>
      <w:szCs w:val="24"/>
    </w:rPr>
  </w:style>
  <w:style w:type="character" w:customStyle="1" w:styleId="FontStyle21">
    <w:name w:val="Font Style21"/>
    <w:basedOn w:val="DefaultParagraphFont"/>
    <w:uiPriority w:val="99"/>
    <w:rsid w:val="00DE6D59"/>
    <w:rPr>
      <w:rFonts w:ascii="Book Antiqua" w:hAnsi="Book Antiqua" w:cs="Book Antiqua"/>
      <w:color w:val="000000"/>
      <w:sz w:val="14"/>
      <w:szCs w:val="14"/>
    </w:rPr>
  </w:style>
  <w:style w:type="character" w:customStyle="1" w:styleId="A15">
    <w:name w:val="A15"/>
    <w:uiPriority w:val="99"/>
    <w:rsid w:val="00DE6D59"/>
    <w:rPr>
      <w:rFonts w:cs="Adobe Garamond Pro"/>
      <w:color w:val="000000"/>
      <w:sz w:val="23"/>
      <w:szCs w:val="23"/>
    </w:rPr>
  </w:style>
  <w:style w:type="character" w:customStyle="1" w:styleId="hide">
    <w:name w:val="hide"/>
    <w:basedOn w:val="DefaultParagraphFont"/>
    <w:rsid w:val="003008D2"/>
  </w:style>
  <w:style w:type="paragraph" w:customStyle="1" w:styleId="References">
    <w:name w:val="References"/>
    <w:basedOn w:val="FootnoteText"/>
    <w:link w:val="ReferencesChar"/>
    <w:uiPriority w:val="99"/>
    <w:rsid w:val="0082786C"/>
    <w:pPr>
      <w:spacing w:after="200" w:line="276" w:lineRule="auto"/>
      <w:ind w:left="720" w:hanging="720"/>
    </w:pPr>
    <w:rPr>
      <w:rFonts w:ascii="Cambria" w:eastAsia="MS Mincho" w:hAnsi="Cambria"/>
      <w:sz w:val="24"/>
    </w:rPr>
  </w:style>
  <w:style w:type="character" w:customStyle="1" w:styleId="ReferencesChar">
    <w:name w:val="References Char"/>
    <w:link w:val="References"/>
    <w:uiPriority w:val="99"/>
    <w:locked/>
    <w:rsid w:val="0082786C"/>
    <w:rPr>
      <w:rFonts w:ascii="Cambria" w:eastAsia="MS Mincho" w:hAnsi="Cambria" w:cs="Times New Roman"/>
      <w:sz w:val="24"/>
      <w:szCs w:val="20"/>
    </w:rPr>
  </w:style>
  <w:style w:type="paragraph" w:styleId="DocumentMap">
    <w:name w:val="Document Map"/>
    <w:basedOn w:val="Normal"/>
    <w:link w:val="DocumentMapChar"/>
    <w:uiPriority w:val="99"/>
    <w:semiHidden/>
    <w:unhideWhenUsed/>
    <w:rsid w:val="00A47BC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A47BC5"/>
    <w:rPr>
      <w:rFonts w:ascii="Lucida Grande" w:hAnsi="Lucida Grande"/>
      <w:sz w:val="24"/>
      <w:szCs w:val="24"/>
    </w:rPr>
  </w:style>
  <w:style w:type="paragraph" w:customStyle="1" w:styleId="head">
    <w:name w:val="head"/>
    <w:basedOn w:val="Normal"/>
    <w:rsid w:val="00A635DD"/>
    <w:rPr>
      <w:b/>
    </w:rPr>
  </w:style>
  <w:style w:type="paragraph" w:customStyle="1" w:styleId="heading">
    <w:name w:val="heading"/>
    <w:basedOn w:val="Normal"/>
    <w:rsid w:val="00BD671E"/>
    <w:pPr>
      <w:keepNext/>
      <w:keepLines/>
      <w:spacing w:before="200"/>
      <w:outlineLvl w:val="1"/>
    </w:pPr>
    <w:rPr>
      <w:rFonts w:eastAsia="MS Gothic" w:cs="Times New Roman"/>
      <w:b/>
      <w:bCs/>
      <w:caps/>
      <w:szCs w:val="24"/>
    </w:rPr>
  </w:style>
  <w:style w:type="character" w:customStyle="1" w:styleId="Heading6Char">
    <w:name w:val="Heading 6 Char"/>
    <w:basedOn w:val="DefaultParagraphFont"/>
    <w:link w:val="Heading6"/>
    <w:rsid w:val="0093627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936275"/>
    <w:rPr>
      <w:rFonts w:asciiTheme="majorHAnsi" w:eastAsiaTheme="majorEastAsia" w:hAnsiTheme="majorHAnsi" w:cstheme="majorBidi"/>
      <w:i/>
      <w:iCs/>
      <w:color w:val="404040" w:themeColor="text1" w:themeTint="BF"/>
      <w:sz w:val="24"/>
    </w:rPr>
  </w:style>
  <w:style w:type="character" w:customStyle="1" w:styleId="name4">
    <w:name w:val="name4"/>
    <w:basedOn w:val="DefaultParagraphFont"/>
    <w:rsid w:val="00926F36"/>
  </w:style>
  <w:style w:type="character" w:customStyle="1" w:styleId="position4">
    <w:name w:val="position4"/>
    <w:basedOn w:val="DefaultParagraphFont"/>
    <w:rsid w:val="00926F36"/>
  </w:style>
  <w:style w:type="character" w:customStyle="1" w:styleId="st1">
    <w:name w:val="st1"/>
    <w:basedOn w:val="DefaultParagraphFont"/>
    <w:rsid w:val="0092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99"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70A9E"/>
    <w:rPr>
      <w:rFonts w:ascii="Times New Roman" w:hAnsi="Times New Roman"/>
      <w:sz w:val="24"/>
    </w:rPr>
  </w:style>
  <w:style w:type="paragraph" w:styleId="Heading1">
    <w:name w:val="heading 1"/>
    <w:basedOn w:val="Normal"/>
    <w:next w:val="Normal"/>
    <w:link w:val="Heading1Char"/>
    <w:autoRedefine/>
    <w:uiPriority w:val="9"/>
    <w:qFormat/>
    <w:rsid w:val="007162A8"/>
    <w:pPr>
      <w:keepNext/>
      <w:keepLines/>
      <w:tabs>
        <w:tab w:val="left" w:pos="8370"/>
      </w:tabs>
      <w:spacing w:before="240" w:after="120" w:line="240" w:lineRule="auto"/>
      <w:jc w:val="center"/>
      <w:outlineLvl w:val="0"/>
    </w:pPr>
    <w:rPr>
      <w:rFonts w:eastAsia="Times New Roman" w:cstheme="majorBidi"/>
      <w:b/>
      <w:bCs/>
      <w:caps/>
      <w:szCs w:val="28"/>
    </w:rPr>
  </w:style>
  <w:style w:type="paragraph" w:styleId="Heading2">
    <w:name w:val="heading 2"/>
    <w:basedOn w:val="Normal"/>
    <w:next w:val="Normal"/>
    <w:link w:val="Heading2Char"/>
    <w:autoRedefine/>
    <w:uiPriority w:val="9"/>
    <w:unhideWhenUsed/>
    <w:qFormat/>
    <w:rsid w:val="007162A8"/>
    <w:pPr>
      <w:keepNext/>
      <w:keepLines/>
      <w:spacing w:before="240" w:after="120" w:line="240" w:lineRule="auto"/>
      <w:outlineLvl w:val="1"/>
    </w:pPr>
    <w:rPr>
      <w:rFonts w:eastAsiaTheme="majorEastAsia" w:cs="Times New Roman"/>
      <w:b/>
      <w:bCs/>
      <w:caps/>
      <w:szCs w:val="24"/>
    </w:rPr>
  </w:style>
  <w:style w:type="paragraph" w:styleId="Heading3">
    <w:name w:val="heading 3"/>
    <w:basedOn w:val="Normal"/>
    <w:next w:val="Normal"/>
    <w:link w:val="Heading3Char"/>
    <w:autoRedefine/>
    <w:uiPriority w:val="9"/>
    <w:unhideWhenUsed/>
    <w:qFormat/>
    <w:rsid w:val="00544A76"/>
    <w:pPr>
      <w:keepNext/>
      <w:keepLines/>
      <w:spacing w:before="120" w:after="120" w:line="240" w:lineRule="auto"/>
      <w:outlineLvl w:val="2"/>
    </w:pPr>
    <w:rPr>
      <w:rFonts w:eastAsiaTheme="majorEastAsia" w:cs="Times New Roman"/>
      <w:b/>
      <w:bCs/>
      <w:szCs w:val="24"/>
    </w:rPr>
  </w:style>
  <w:style w:type="paragraph" w:styleId="Heading4">
    <w:name w:val="heading 4"/>
    <w:basedOn w:val="Normal"/>
    <w:next w:val="Normal"/>
    <w:link w:val="Heading4Char"/>
    <w:autoRedefine/>
    <w:qFormat/>
    <w:rsid w:val="00DC2CAA"/>
    <w:pPr>
      <w:keepNext/>
      <w:spacing w:before="240" w:after="60" w:line="240" w:lineRule="auto"/>
      <w:contextualSpacing/>
      <w:jc w:val="center"/>
      <w:outlineLvl w:val="3"/>
    </w:pPr>
    <w:rPr>
      <w:rFonts w:eastAsia="Times New Roman" w:cs="Times New Roman"/>
      <w:b/>
      <w:bCs/>
      <w:sz w:val="20"/>
      <w:szCs w:val="20"/>
    </w:rPr>
  </w:style>
  <w:style w:type="paragraph" w:styleId="Heading6">
    <w:name w:val="heading 6"/>
    <w:basedOn w:val="Normal"/>
    <w:next w:val="Normal"/>
    <w:link w:val="Heading6Char"/>
    <w:rsid w:val="009362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362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2A8"/>
    <w:rPr>
      <w:rFonts w:ascii="Times New Roman" w:eastAsia="Times New Roman" w:hAnsi="Times New Roman" w:cstheme="majorBidi"/>
      <w:b/>
      <w:bCs/>
      <w:caps/>
      <w:sz w:val="24"/>
      <w:szCs w:val="28"/>
    </w:rPr>
  </w:style>
  <w:style w:type="character" w:customStyle="1" w:styleId="Heading2Char">
    <w:name w:val="Heading 2 Char"/>
    <w:basedOn w:val="DefaultParagraphFont"/>
    <w:link w:val="Heading2"/>
    <w:uiPriority w:val="9"/>
    <w:rsid w:val="007162A8"/>
    <w:rPr>
      <w:rFonts w:ascii="Times New Roman" w:eastAsiaTheme="majorEastAsia" w:hAnsi="Times New Roman" w:cs="Times New Roman"/>
      <w:b/>
      <w:bCs/>
      <w:caps/>
      <w:sz w:val="24"/>
      <w:szCs w:val="24"/>
    </w:rPr>
  </w:style>
  <w:style w:type="character" w:customStyle="1" w:styleId="Heading3Char">
    <w:name w:val="Heading 3 Char"/>
    <w:basedOn w:val="DefaultParagraphFont"/>
    <w:link w:val="Heading3"/>
    <w:uiPriority w:val="9"/>
    <w:rsid w:val="00544A76"/>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rsid w:val="00DC2CAA"/>
    <w:rPr>
      <w:rFonts w:ascii="Times New Roman" w:eastAsia="Times New Roman" w:hAnsi="Times New Roman" w:cs="Times New Roman"/>
      <w:b/>
      <w:bCs/>
      <w:sz w:val="20"/>
      <w:szCs w:val="20"/>
    </w:rPr>
  </w:style>
  <w:style w:type="character" w:customStyle="1" w:styleId="apple-tab-span">
    <w:name w:val="apple-tab-span"/>
    <w:basedOn w:val="DefaultParagraphFont"/>
    <w:rsid w:val="00494B11"/>
  </w:style>
  <w:style w:type="paragraph" w:styleId="TOCHeading">
    <w:name w:val="TOC Heading"/>
    <w:basedOn w:val="Heading1"/>
    <w:next w:val="Normal"/>
    <w:uiPriority w:val="39"/>
    <w:unhideWhenUsed/>
    <w:qFormat/>
    <w:rsid w:val="005B4D96"/>
    <w:pPr>
      <w:jc w:val="left"/>
      <w:outlineLvl w:val="9"/>
    </w:pPr>
    <w:rPr>
      <w:rFonts w:asciiTheme="majorHAnsi" w:eastAsiaTheme="majorEastAsia" w:hAnsiTheme="majorHAnsi"/>
      <w:caps w:val="0"/>
      <w:color w:val="365F91" w:themeColor="accent1" w:themeShade="BF"/>
      <w:sz w:val="28"/>
      <w:lang w:eastAsia="ja-JP"/>
    </w:rPr>
  </w:style>
  <w:style w:type="paragraph" w:styleId="TOC1">
    <w:name w:val="toc 1"/>
    <w:basedOn w:val="Normal"/>
    <w:next w:val="Normal"/>
    <w:autoRedefine/>
    <w:uiPriority w:val="39"/>
    <w:unhideWhenUsed/>
    <w:rsid w:val="0090075E"/>
    <w:pPr>
      <w:tabs>
        <w:tab w:val="right" w:leader="dot" w:pos="9350"/>
      </w:tabs>
      <w:spacing w:after="100"/>
    </w:pPr>
  </w:style>
  <w:style w:type="character" w:styleId="Hyperlink">
    <w:name w:val="Hyperlink"/>
    <w:basedOn w:val="DefaultParagraphFont"/>
    <w:uiPriority w:val="99"/>
    <w:unhideWhenUsed/>
    <w:rsid w:val="005B4D96"/>
    <w:rPr>
      <w:color w:val="0000FF" w:themeColor="hyperlink"/>
      <w:u w:val="single"/>
    </w:rPr>
  </w:style>
  <w:style w:type="paragraph" w:styleId="BalloonText">
    <w:name w:val="Balloon Text"/>
    <w:basedOn w:val="Normal"/>
    <w:link w:val="BalloonTextChar"/>
    <w:uiPriority w:val="99"/>
    <w:semiHidden/>
    <w:unhideWhenUsed/>
    <w:rsid w:val="005B4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96"/>
    <w:rPr>
      <w:rFonts w:ascii="Tahoma" w:hAnsi="Tahoma" w:cs="Tahoma"/>
      <w:sz w:val="16"/>
      <w:szCs w:val="16"/>
    </w:rPr>
  </w:style>
  <w:style w:type="paragraph" w:styleId="NoSpacing">
    <w:name w:val="No Spacing"/>
    <w:link w:val="NoSpacingChar"/>
    <w:uiPriority w:val="99"/>
    <w:qFormat/>
    <w:rsid w:val="00086464"/>
    <w:pPr>
      <w:spacing w:line="240" w:lineRule="auto"/>
    </w:pPr>
    <w:rPr>
      <w:rFonts w:eastAsiaTheme="minorEastAsia"/>
      <w:lang w:eastAsia="ja-JP"/>
    </w:rPr>
  </w:style>
  <w:style w:type="character" w:customStyle="1" w:styleId="NoSpacingChar">
    <w:name w:val="No Spacing Char"/>
    <w:basedOn w:val="DefaultParagraphFont"/>
    <w:link w:val="NoSpacing"/>
    <w:uiPriority w:val="99"/>
    <w:rsid w:val="00086464"/>
    <w:rPr>
      <w:rFonts w:eastAsiaTheme="minorEastAsia"/>
      <w:lang w:eastAsia="ja-JP"/>
    </w:rPr>
  </w:style>
  <w:style w:type="paragraph" w:styleId="Header">
    <w:name w:val="header"/>
    <w:basedOn w:val="Normal"/>
    <w:link w:val="HeaderChar"/>
    <w:unhideWhenUsed/>
    <w:rsid w:val="009B4BC3"/>
    <w:pPr>
      <w:tabs>
        <w:tab w:val="center" w:pos="4680"/>
        <w:tab w:val="right" w:pos="9360"/>
      </w:tabs>
      <w:spacing w:line="240" w:lineRule="auto"/>
    </w:pPr>
  </w:style>
  <w:style w:type="character" w:customStyle="1" w:styleId="HeaderChar">
    <w:name w:val="Header Char"/>
    <w:basedOn w:val="DefaultParagraphFont"/>
    <w:link w:val="Header"/>
    <w:uiPriority w:val="99"/>
    <w:rsid w:val="009B4BC3"/>
  </w:style>
  <w:style w:type="paragraph" w:styleId="Footer">
    <w:name w:val="footer"/>
    <w:basedOn w:val="Normal"/>
    <w:link w:val="FooterChar"/>
    <w:uiPriority w:val="99"/>
    <w:unhideWhenUsed/>
    <w:rsid w:val="009B4BC3"/>
    <w:pPr>
      <w:tabs>
        <w:tab w:val="center" w:pos="4680"/>
        <w:tab w:val="right" w:pos="9360"/>
      </w:tabs>
      <w:spacing w:line="240" w:lineRule="auto"/>
    </w:pPr>
  </w:style>
  <w:style w:type="character" w:customStyle="1" w:styleId="FooterChar">
    <w:name w:val="Footer Char"/>
    <w:basedOn w:val="DefaultParagraphFont"/>
    <w:link w:val="Footer"/>
    <w:uiPriority w:val="99"/>
    <w:rsid w:val="009B4BC3"/>
  </w:style>
  <w:style w:type="character" w:styleId="CommentReference">
    <w:name w:val="annotation reference"/>
    <w:uiPriority w:val="99"/>
    <w:semiHidden/>
    <w:rsid w:val="00370A9E"/>
    <w:rPr>
      <w:sz w:val="16"/>
      <w:szCs w:val="16"/>
    </w:rPr>
  </w:style>
  <w:style w:type="paragraph" w:styleId="CommentText">
    <w:name w:val="annotation text"/>
    <w:basedOn w:val="Normal"/>
    <w:link w:val="CommentTextChar"/>
    <w:uiPriority w:val="99"/>
    <w:semiHidden/>
    <w:rsid w:val="00370A9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70A9E"/>
    <w:rPr>
      <w:rFonts w:ascii="Times New Roman" w:eastAsia="Times New Roman" w:hAnsi="Times New Roman" w:cs="Times New Roman"/>
      <w:sz w:val="20"/>
      <w:szCs w:val="20"/>
    </w:rPr>
  </w:style>
  <w:style w:type="character" w:styleId="FootnoteReference">
    <w:name w:val="footnote reference"/>
    <w:uiPriority w:val="99"/>
    <w:rsid w:val="00370A9E"/>
    <w:rPr>
      <w:vertAlign w:val="superscript"/>
    </w:rPr>
  </w:style>
  <w:style w:type="paragraph" w:customStyle="1" w:styleId="Normaldble">
    <w:name w:val="Normaldble"/>
    <w:basedOn w:val="Normal"/>
    <w:rsid w:val="00370A9E"/>
    <w:pPr>
      <w:spacing w:line="480" w:lineRule="auto"/>
      <w:ind w:firstLine="720"/>
    </w:pPr>
    <w:rPr>
      <w:rFonts w:eastAsia="Times New Roman" w:cs="Times New Roman"/>
      <w:szCs w:val="24"/>
    </w:rPr>
  </w:style>
  <w:style w:type="paragraph" w:styleId="FootnoteText">
    <w:name w:val="footnote text"/>
    <w:basedOn w:val="Normal"/>
    <w:link w:val="FootnoteTextChar"/>
    <w:uiPriority w:val="99"/>
    <w:rsid w:val="00370A9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70A9E"/>
    <w:rPr>
      <w:rFonts w:ascii="Times New Roman" w:eastAsia="Times New Roman" w:hAnsi="Times New Roman" w:cs="Times New Roman"/>
      <w:sz w:val="20"/>
      <w:szCs w:val="20"/>
    </w:rPr>
  </w:style>
  <w:style w:type="character" w:styleId="PageNumber">
    <w:name w:val="page number"/>
    <w:basedOn w:val="DefaultParagraphFont"/>
    <w:uiPriority w:val="99"/>
    <w:rsid w:val="00370A9E"/>
  </w:style>
  <w:style w:type="paragraph" w:customStyle="1" w:styleId="Default">
    <w:name w:val="Default"/>
    <w:uiPriority w:val="99"/>
    <w:rsid w:val="00370A9E"/>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unhideWhenUsed/>
    <w:rsid w:val="001F4BF6"/>
    <w:pPr>
      <w:tabs>
        <w:tab w:val="right" w:leader="dot" w:pos="9350"/>
      </w:tabs>
      <w:spacing w:after="100"/>
      <w:ind w:left="240"/>
    </w:pPr>
  </w:style>
  <w:style w:type="paragraph" w:styleId="TOC3">
    <w:name w:val="toc 3"/>
    <w:basedOn w:val="Normal"/>
    <w:next w:val="Normal"/>
    <w:autoRedefine/>
    <w:uiPriority w:val="39"/>
    <w:unhideWhenUsed/>
    <w:rsid w:val="0090075E"/>
    <w:pPr>
      <w:tabs>
        <w:tab w:val="right" w:leader="dot" w:pos="9350"/>
      </w:tabs>
      <w:spacing w:after="100"/>
      <w:ind w:left="480"/>
    </w:pPr>
  </w:style>
  <w:style w:type="paragraph" w:styleId="BodyTextIndent3">
    <w:name w:val="Body Text Indent 3"/>
    <w:basedOn w:val="Normal"/>
    <w:link w:val="BodyTextIndent3Char"/>
    <w:rsid w:val="00490E44"/>
    <w:pPr>
      <w:spacing w:line="480" w:lineRule="auto"/>
      <w:ind w:firstLine="360"/>
    </w:pPr>
    <w:rPr>
      <w:rFonts w:eastAsia="Times New Roman" w:cs="Times New Roman"/>
      <w:szCs w:val="20"/>
    </w:rPr>
  </w:style>
  <w:style w:type="character" w:customStyle="1" w:styleId="BodyTextIndent3Char">
    <w:name w:val="Body Text Indent 3 Char"/>
    <w:basedOn w:val="DefaultParagraphFont"/>
    <w:link w:val="BodyTextIndent3"/>
    <w:rsid w:val="00490E44"/>
    <w:rPr>
      <w:rFonts w:ascii="Times New Roman" w:eastAsia="Times New Roman" w:hAnsi="Times New Roman" w:cs="Times New Roman"/>
      <w:sz w:val="24"/>
      <w:szCs w:val="20"/>
    </w:rPr>
  </w:style>
  <w:style w:type="paragraph" w:styleId="ListParagraph">
    <w:name w:val="List Paragraph"/>
    <w:basedOn w:val="Normal"/>
    <w:uiPriority w:val="34"/>
    <w:qFormat/>
    <w:rsid w:val="00A674F5"/>
    <w:pPr>
      <w:ind w:left="720"/>
      <w:contextualSpacing/>
    </w:pPr>
  </w:style>
  <w:style w:type="paragraph" w:customStyle="1" w:styleId="bchtxflush">
    <w:name w:val="bch_tx.flush"/>
    <w:basedOn w:val="Normal"/>
    <w:rsid w:val="00A879A3"/>
    <w:pPr>
      <w:spacing w:line="240" w:lineRule="exact"/>
      <w:jc w:val="both"/>
    </w:pPr>
    <w:rPr>
      <w:rFonts w:ascii="New York" w:eastAsia="Times New Roman" w:hAnsi="New York" w:cs="New York"/>
      <w:sz w:val="20"/>
      <w:szCs w:val="20"/>
    </w:rPr>
  </w:style>
  <w:style w:type="paragraph" w:customStyle="1" w:styleId="bchtx">
    <w:name w:val="bch_tx"/>
    <w:basedOn w:val="Normal"/>
    <w:rsid w:val="00A879A3"/>
    <w:pPr>
      <w:spacing w:line="240" w:lineRule="exact"/>
      <w:ind w:firstLine="480"/>
      <w:jc w:val="both"/>
    </w:pPr>
    <w:rPr>
      <w:rFonts w:ascii="New York" w:eastAsia="Times New Roman" w:hAnsi="New York" w:cs="New York"/>
      <w:sz w:val="20"/>
      <w:szCs w:val="20"/>
    </w:rPr>
  </w:style>
  <w:style w:type="paragraph" w:customStyle="1" w:styleId="bchha">
    <w:name w:val="bch_ha"/>
    <w:basedOn w:val="Normal"/>
    <w:rsid w:val="00A879A3"/>
    <w:pPr>
      <w:spacing w:before="540" w:after="160" w:line="260" w:lineRule="exact"/>
      <w:ind w:right="1680"/>
    </w:pPr>
    <w:rPr>
      <w:rFonts w:ascii="New York" w:eastAsia="Times New Roman" w:hAnsi="New York" w:cs="New York"/>
      <w:caps/>
      <w:szCs w:val="20"/>
    </w:rPr>
  </w:style>
  <w:style w:type="paragraph" w:customStyle="1" w:styleId="bchhb">
    <w:name w:val="bch_hb"/>
    <w:basedOn w:val="Normal"/>
    <w:rsid w:val="00A879A3"/>
    <w:pPr>
      <w:spacing w:before="340" w:after="120" w:line="260" w:lineRule="exact"/>
    </w:pPr>
    <w:rPr>
      <w:rFonts w:ascii="New York" w:eastAsia="Times New Roman" w:hAnsi="New York" w:cs="New York"/>
      <w:sz w:val="22"/>
      <w:szCs w:val="20"/>
    </w:rPr>
  </w:style>
  <w:style w:type="paragraph" w:customStyle="1" w:styleId="bchhcemspacethentext">
    <w:name w:val="bch_hc.em.space.then.text"/>
    <w:basedOn w:val="Normal"/>
    <w:rsid w:val="00A879A3"/>
    <w:pPr>
      <w:spacing w:before="360" w:line="240" w:lineRule="exact"/>
      <w:jc w:val="both"/>
    </w:pPr>
    <w:rPr>
      <w:rFonts w:ascii="New York" w:eastAsia="Times New Roman" w:hAnsi="New York" w:cs="New York"/>
      <w:sz w:val="20"/>
      <w:szCs w:val="20"/>
    </w:rPr>
  </w:style>
  <w:style w:type="paragraph" w:customStyle="1" w:styleId="bchlnfirst">
    <w:name w:val="bch_ln.first"/>
    <w:basedOn w:val="Normal"/>
    <w:rsid w:val="00A879A3"/>
    <w:pPr>
      <w:tabs>
        <w:tab w:val="decimal" w:pos="660"/>
      </w:tabs>
      <w:spacing w:before="360" w:line="240" w:lineRule="exact"/>
      <w:ind w:left="840" w:hanging="840"/>
    </w:pPr>
    <w:rPr>
      <w:rFonts w:ascii="New York" w:eastAsia="Times New Roman" w:hAnsi="New York" w:cs="New York"/>
      <w:sz w:val="20"/>
      <w:szCs w:val="20"/>
    </w:rPr>
  </w:style>
  <w:style w:type="paragraph" w:customStyle="1" w:styleId="bchlnmiddle">
    <w:name w:val="bch_ln.middle"/>
    <w:basedOn w:val="Normal"/>
    <w:rsid w:val="00A879A3"/>
    <w:pPr>
      <w:tabs>
        <w:tab w:val="decimal" w:pos="660"/>
      </w:tabs>
      <w:spacing w:line="240" w:lineRule="exact"/>
      <w:ind w:left="840" w:hanging="840"/>
    </w:pPr>
    <w:rPr>
      <w:rFonts w:ascii="New York" w:eastAsia="Times New Roman" w:hAnsi="New York" w:cs="New York"/>
      <w:sz w:val="20"/>
      <w:szCs w:val="20"/>
    </w:rPr>
  </w:style>
  <w:style w:type="paragraph" w:customStyle="1" w:styleId="bchlnlast">
    <w:name w:val="bch_ln.last"/>
    <w:basedOn w:val="Normal"/>
    <w:rsid w:val="00A879A3"/>
    <w:pPr>
      <w:tabs>
        <w:tab w:val="decimal" w:pos="660"/>
      </w:tabs>
      <w:spacing w:after="360" w:line="240" w:lineRule="exact"/>
      <w:ind w:left="840" w:hanging="840"/>
    </w:pPr>
    <w:rPr>
      <w:rFonts w:ascii="New York" w:eastAsia="Times New Roman" w:hAnsi="New York" w:cs="New York"/>
      <w:sz w:val="20"/>
      <w:szCs w:val="20"/>
    </w:rPr>
  </w:style>
  <w:style w:type="paragraph" w:customStyle="1" w:styleId="bchhdemspacethentext">
    <w:name w:val="bch_hd.em.space.then.text"/>
    <w:basedOn w:val="Normal"/>
    <w:rsid w:val="00A879A3"/>
    <w:pPr>
      <w:spacing w:before="240" w:line="240" w:lineRule="exact"/>
      <w:jc w:val="both"/>
    </w:pPr>
    <w:rPr>
      <w:rFonts w:ascii="New York" w:eastAsia="Times New Roman" w:hAnsi="New York" w:cs="New York"/>
      <w:sz w:val="20"/>
      <w:szCs w:val="20"/>
    </w:rPr>
  </w:style>
  <w:style w:type="paragraph" w:customStyle="1" w:styleId="bchlbfirst">
    <w:name w:val="bch_lb.first"/>
    <w:basedOn w:val="Normal"/>
    <w:rsid w:val="00A879A3"/>
    <w:pPr>
      <w:spacing w:before="360" w:line="240" w:lineRule="exact"/>
      <w:ind w:left="680" w:hanging="200"/>
      <w:jc w:val="both"/>
    </w:pPr>
    <w:rPr>
      <w:rFonts w:ascii="New York" w:eastAsia="Times New Roman" w:hAnsi="New York" w:cs="New York"/>
      <w:sz w:val="20"/>
      <w:szCs w:val="20"/>
    </w:rPr>
  </w:style>
  <w:style w:type="paragraph" w:customStyle="1" w:styleId="bchlbmiddle">
    <w:name w:val="bch_lb.middle"/>
    <w:basedOn w:val="Normal"/>
    <w:rsid w:val="00A879A3"/>
    <w:pPr>
      <w:spacing w:line="240" w:lineRule="exact"/>
      <w:ind w:left="680" w:hanging="200"/>
      <w:jc w:val="both"/>
    </w:pPr>
    <w:rPr>
      <w:rFonts w:ascii="New York" w:eastAsia="Times New Roman" w:hAnsi="New York" w:cs="New York"/>
      <w:sz w:val="20"/>
      <w:szCs w:val="20"/>
    </w:rPr>
  </w:style>
  <w:style w:type="paragraph" w:customStyle="1" w:styleId="bchlblast">
    <w:name w:val="bch_lb.last"/>
    <w:basedOn w:val="Normal"/>
    <w:rsid w:val="00A879A3"/>
    <w:pPr>
      <w:spacing w:after="360" w:line="240" w:lineRule="exact"/>
      <w:ind w:left="680" w:hanging="200"/>
      <w:jc w:val="both"/>
    </w:pPr>
    <w:rPr>
      <w:rFonts w:ascii="New York" w:eastAsia="Times New Roman" w:hAnsi="New York" w:cs="New York"/>
      <w:sz w:val="20"/>
      <w:szCs w:val="20"/>
    </w:rPr>
  </w:style>
  <w:style w:type="paragraph" w:customStyle="1" w:styleId="bchluafirst">
    <w:name w:val="bch_lu_a.first"/>
    <w:basedOn w:val="Normal"/>
    <w:rsid w:val="00A879A3"/>
    <w:pPr>
      <w:spacing w:before="360" w:line="240" w:lineRule="exact"/>
      <w:ind w:left="360" w:hanging="360"/>
    </w:pPr>
    <w:rPr>
      <w:rFonts w:ascii="New York" w:eastAsia="Times New Roman" w:hAnsi="New York" w:cs="New York"/>
      <w:sz w:val="20"/>
      <w:szCs w:val="20"/>
    </w:rPr>
  </w:style>
  <w:style w:type="paragraph" w:customStyle="1" w:styleId="bchluamiddle">
    <w:name w:val="bch_lu_a.middle"/>
    <w:basedOn w:val="Normal"/>
    <w:rsid w:val="00A879A3"/>
    <w:pPr>
      <w:spacing w:line="240" w:lineRule="exact"/>
      <w:ind w:left="360" w:hanging="360"/>
    </w:pPr>
    <w:rPr>
      <w:rFonts w:ascii="New York" w:eastAsia="Times New Roman" w:hAnsi="New York" w:cs="New York"/>
      <w:sz w:val="20"/>
      <w:szCs w:val="20"/>
    </w:rPr>
  </w:style>
  <w:style w:type="paragraph" w:customStyle="1" w:styleId="bchlualast">
    <w:name w:val="bch_lu_a.last"/>
    <w:basedOn w:val="Normal"/>
    <w:rsid w:val="00A879A3"/>
    <w:pPr>
      <w:spacing w:after="360" w:line="240" w:lineRule="exact"/>
      <w:ind w:left="360" w:hanging="360"/>
    </w:pPr>
    <w:rPr>
      <w:rFonts w:ascii="New York" w:eastAsia="Times New Roman" w:hAnsi="New York" w:cs="New York"/>
      <w:sz w:val="20"/>
      <w:szCs w:val="20"/>
    </w:rPr>
  </w:style>
  <w:style w:type="paragraph" w:customStyle="1" w:styleId="bchtbcn">
    <w:name w:val="bch_tbcn"/>
    <w:basedOn w:val="Normal"/>
    <w:rsid w:val="00A879A3"/>
    <w:pPr>
      <w:pBdr>
        <w:bottom w:val="single" w:sz="6" w:space="0" w:color="auto"/>
      </w:pBdr>
      <w:spacing w:before="120" w:after="120" w:line="240" w:lineRule="exact"/>
    </w:pPr>
    <w:rPr>
      <w:rFonts w:ascii="New York" w:eastAsia="Times New Roman" w:hAnsi="New York" w:cs="New York"/>
      <w:sz w:val="20"/>
      <w:szCs w:val="20"/>
    </w:rPr>
  </w:style>
  <w:style w:type="paragraph" w:customStyle="1" w:styleId="bchtbtxa">
    <w:name w:val="bch_tbtx_a"/>
    <w:basedOn w:val="Normal"/>
    <w:rsid w:val="00A879A3"/>
    <w:pPr>
      <w:tabs>
        <w:tab w:val="decimal" w:pos="3080"/>
        <w:tab w:val="right" w:pos="3640"/>
        <w:tab w:val="decimal" w:pos="4320"/>
        <w:tab w:val="right" w:pos="4980"/>
        <w:tab w:val="decimal" w:pos="5920"/>
        <w:tab w:val="right" w:pos="6480"/>
      </w:tabs>
      <w:spacing w:line="240" w:lineRule="exact"/>
    </w:pPr>
    <w:rPr>
      <w:rFonts w:ascii="New York" w:eastAsia="Times New Roman" w:hAnsi="New York" w:cs="New York"/>
      <w:sz w:val="20"/>
      <w:szCs w:val="20"/>
    </w:rPr>
  </w:style>
  <w:style w:type="paragraph" w:customStyle="1" w:styleId="bchtbtxawithendingrule">
    <w:name w:val="bch_tbtx_a.with.ending.rule"/>
    <w:basedOn w:val="Normal"/>
    <w:rsid w:val="00A879A3"/>
    <w:pPr>
      <w:pBdr>
        <w:bottom w:val="single" w:sz="6" w:space="0" w:color="auto"/>
      </w:pBdr>
      <w:tabs>
        <w:tab w:val="decimal" w:pos="3080"/>
        <w:tab w:val="right" w:pos="3640"/>
        <w:tab w:val="decimal" w:pos="4320"/>
        <w:tab w:val="right" w:pos="4980"/>
        <w:tab w:val="decimal" w:pos="5920"/>
        <w:tab w:val="right" w:pos="6480"/>
      </w:tabs>
      <w:spacing w:after="120" w:line="240" w:lineRule="exact"/>
    </w:pPr>
    <w:rPr>
      <w:rFonts w:ascii="New York" w:eastAsia="Times New Roman" w:hAnsi="New York" w:cs="New York"/>
      <w:sz w:val="20"/>
      <w:szCs w:val="20"/>
    </w:rPr>
  </w:style>
  <w:style w:type="paragraph" w:styleId="CommentSubject">
    <w:name w:val="annotation subject"/>
    <w:basedOn w:val="CommentText"/>
    <w:next w:val="CommentText"/>
    <w:link w:val="CommentSubjectChar"/>
    <w:uiPriority w:val="99"/>
    <w:semiHidden/>
    <w:rsid w:val="00A879A3"/>
    <w:rPr>
      <w:b/>
      <w:bCs/>
    </w:rPr>
  </w:style>
  <w:style w:type="character" w:customStyle="1" w:styleId="CommentSubjectChar">
    <w:name w:val="Comment Subject Char"/>
    <w:basedOn w:val="CommentTextChar"/>
    <w:link w:val="CommentSubject"/>
    <w:uiPriority w:val="99"/>
    <w:semiHidden/>
    <w:rsid w:val="00A879A3"/>
    <w:rPr>
      <w:rFonts w:ascii="Times New Roman" w:eastAsia="Times New Roman" w:hAnsi="Times New Roman" w:cs="Times New Roman"/>
      <w:b/>
      <w:bCs/>
      <w:sz w:val="20"/>
      <w:szCs w:val="20"/>
    </w:rPr>
  </w:style>
  <w:style w:type="paragraph" w:customStyle="1" w:styleId="bchfn">
    <w:name w:val="bch_fn"/>
    <w:basedOn w:val="Normal"/>
    <w:next w:val="Normal"/>
    <w:rsid w:val="00A879A3"/>
    <w:pPr>
      <w:spacing w:line="200" w:lineRule="exact"/>
    </w:pPr>
    <w:rPr>
      <w:rFonts w:ascii="New York" w:eastAsia="Times New Roman" w:hAnsi="New York" w:cs="New York"/>
      <w:sz w:val="16"/>
      <w:szCs w:val="20"/>
    </w:rPr>
  </w:style>
  <w:style w:type="paragraph" w:styleId="BodyText">
    <w:name w:val="Body Text"/>
    <w:basedOn w:val="Normal"/>
    <w:link w:val="BodyTextChar"/>
    <w:rsid w:val="00A879A3"/>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A879A3"/>
    <w:rPr>
      <w:rFonts w:ascii="Times New Roman" w:eastAsia="Times New Roman" w:hAnsi="Times New Roman" w:cs="Times New Roman"/>
      <w:sz w:val="24"/>
      <w:szCs w:val="24"/>
    </w:rPr>
  </w:style>
  <w:style w:type="paragraph" w:styleId="BodyText2">
    <w:name w:val="Body Text 2"/>
    <w:basedOn w:val="Normal"/>
    <w:link w:val="BodyText2Char"/>
    <w:rsid w:val="00A879A3"/>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A879A3"/>
    <w:rPr>
      <w:rFonts w:ascii="Times New Roman" w:eastAsia="Times New Roman" w:hAnsi="Times New Roman" w:cs="Times New Roman"/>
      <w:sz w:val="24"/>
      <w:szCs w:val="24"/>
    </w:rPr>
  </w:style>
  <w:style w:type="paragraph" w:customStyle="1" w:styleId="1">
    <w:name w:val="_1"/>
    <w:basedOn w:val="Normal"/>
    <w:rsid w:val="00A879A3"/>
    <w:pPr>
      <w:widowControl w:val="0"/>
      <w:spacing w:line="240" w:lineRule="auto"/>
      <w:ind w:left="720" w:hanging="720"/>
    </w:pPr>
    <w:rPr>
      <w:rFonts w:eastAsia="Times New Roman" w:cs="Times New Roman"/>
      <w:szCs w:val="20"/>
    </w:rPr>
  </w:style>
  <w:style w:type="table" w:styleId="TableGrid">
    <w:name w:val="Table Grid"/>
    <w:basedOn w:val="TableNormal"/>
    <w:uiPriority w:val="59"/>
    <w:rsid w:val="00A879A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879A3"/>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A879A3"/>
    <w:rPr>
      <w:rFonts w:ascii="Times New Roman" w:eastAsia="Times New Roman" w:hAnsi="Times New Roman" w:cs="Times New Roman"/>
      <w:sz w:val="24"/>
      <w:szCs w:val="24"/>
    </w:rPr>
  </w:style>
  <w:style w:type="paragraph" w:styleId="BodyText3">
    <w:name w:val="Body Text 3"/>
    <w:basedOn w:val="Normal"/>
    <w:link w:val="BodyText3Char"/>
    <w:rsid w:val="00A879A3"/>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879A3"/>
    <w:rPr>
      <w:rFonts w:ascii="Times New Roman" w:eastAsia="Times New Roman" w:hAnsi="Times New Roman" w:cs="Times New Roman"/>
      <w:sz w:val="16"/>
      <w:szCs w:val="16"/>
    </w:rPr>
  </w:style>
  <w:style w:type="paragraph" w:customStyle="1" w:styleId="Heading1mf">
    <w:name w:val="Heading1mf"/>
    <w:basedOn w:val="Heading1"/>
    <w:uiPriority w:val="99"/>
    <w:rsid w:val="00A879A3"/>
    <w:pPr>
      <w:keepLines w:val="0"/>
      <w:spacing w:after="60"/>
      <w:jc w:val="left"/>
    </w:pPr>
    <w:rPr>
      <w:rFonts w:cs="Times New Roman"/>
      <w:bCs w:val="0"/>
      <w:caps w:val="0"/>
      <w:kern w:val="28"/>
      <w:szCs w:val="24"/>
    </w:rPr>
  </w:style>
  <w:style w:type="paragraph" w:styleId="HTMLPreformatted">
    <w:name w:val="HTML Preformatted"/>
    <w:basedOn w:val="Normal"/>
    <w:link w:val="HTMLPreformattedChar"/>
    <w:rsid w:val="00A8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879A3"/>
    <w:rPr>
      <w:rFonts w:ascii="Courier New" w:eastAsia="Times New Roman" w:hAnsi="Courier New" w:cs="Courier New"/>
      <w:sz w:val="20"/>
      <w:szCs w:val="20"/>
    </w:rPr>
  </w:style>
  <w:style w:type="paragraph" w:customStyle="1" w:styleId="SFRPReportAuthors">
    <w:name w:val="SFRP_Report_Authors"/>
    <w:uiPriority w:val="99"/>
    <w:rsid w:val="00A879A3"/>
    <w:pPr>
      <w:spacing w:line="240" w:lineRule="auto"/>
      <w:jc w:val="right"/>
    </w:pPr>
    <w:rPr>
      <w:rFonts w:ascii="Times New Roman" w:eastAsia="Times New Roman" w:hAnsi="Times New Roman" w:cs="Times New Roman"/>
      <w:b/>
      <w:sz w:val="32"/>
      <w:szCs w:val="24"/>
    </w:rPr>
  </w:style>
  <w:style w:type="paragraph" w:styleId="Revision">
    <w:name w:val="Revision"/>
    <w:hidden/>
    <w:uiPriority w:val="99"/>
    <w:rsid w:val="00A879A3"/>
    <w:pPr>
      <w:spacing w:line="240" w:lineRule="auto"/>
    </w:pPr>
    <w:rPr>
      <w:rFonts w:ascii="Times New Roman" w:eastAsia="Times New Roman" w:hAnsi="Times New Roman" w:cs="Times New Roman"/>
      <w:sz w:val="24"/>
      <w:szCs w:val="24"/>
    </w:rPr>
  </w:style>
  <w:style w:type="paragraph" w:customStyle="1" w:styleId="Bullets">
    <w:name w:val="Bullets"/>
    <w:basedOn w:val="Normal"/>
    <w:rsid w:val="00A879A3"/>
    <w:pPr>
      <w:numPr>
        <w:numId w:val="1"/>
      </w:numPr>
      <w:spacing w:line="240" w:lineRule="auto"/>
    </w:pPr>
    <w:rPr>
      <w:rFonts w:eastAsia="Times New Roman" w:cs="Arial"/>
      <w:szCs w:val="24"/>
    </w:rPr>
  </w:style>
  <w:style w:type="paragraph" w:customStyle="1" w:styleId="Style3">
    <w:name w:val="Style3"/>
    <w:basedOn w:val="Normal"/>
    <w:uiPriority w:val="99"/>
    <w:rsid w:val="00A879A3"/>
    <w:pPr>
      <w:widowControl w:val="0"/>
      <w:autoSpaceDE w:val="0"/>
      <w:autoSpaceDN w:val="0"/>
      <w:adjustRightInd w:val="0"/>
      <w:spacing w:line="240" w:lineRule="exact"/>
      <w:jc w:val="both"/>
    </w:pPr>
    <w:rPr>
      <w:rFonts w:ascii="Book Antiqua" w:eastAsiaTheme="minorEastAsia" w:hAnsi="Book Antiqua" w:cs="Times New Roman"/>
      <w:szCs w:val="24"/>
    </w:rPr>
  </w:style>
  <w:style w:type="paragraph" w:customStyle="1" w:styleId="Style4">
    <w:name w:val="Style4"/>
    <w:basedOn w:val="Normal"/>
    <w:uiPriority w:val="99"/>
    <w:rsid w:val="00A879A3"/>
    <w:pPr>
      <w:widowControl w:val="0"/>
      <w:autoSpaceDE w:val="0"/>
      <w:autoSpaceDN w:val="0"/>
      <w:adjustRightInd w:val="0"/>
      <w:spacing w:line="240" w:lineRule="exact"/>
      <w:ind w:firstLine="480"/>
      <w:jc w:val="both"/>
    </w:pPr>
    <w:rPr>
      <w:rFonts w:ascii="Book Antiqua" w:eastAsiaTheme="minorEastAsia" w:hAnsi="Book Antiqua" w:cs="Times New Roman"/>
      <w:szCs w:val="24"/>
    </w:rPr>
  </w:style>
  <w:style w:type="character" w:customStyle="1" w:styleId="FontStyle131">
    <w:name w:val="Font Style131"/>
    <w:basedOn w:val="DefaultParagraphFont"/>
    <w:uiPriority w:val="99"/>
    <w:rsid w:val="00A879A3"/>
    <w:rPr>
      <w:rFonts w:ascii="Book Antiqua" w:hAnsi="Book Antiqua" w:cs="Book Antiqua"/>
      <w:color w:val="000000"/>
      <w:sz w:val="18"/>
      <w:szCs w:val="18"/>
    </w:rPr>
  </w:style>
  <w:style w:type="character" w:customStyle="1" w:styleId="FontStyle28">
    <w:name w:val="Font Style28"/>
    <w:uiPriority w:val="99"/>
    <w:rsid w:val="00A879A3"/>
    <w:rPr>
      <w:rFonts w:ascii="Book Antiqua" w:hAnsi="Book Antiqua" w:cs="Book Antiqua"/>
      <w:color w:val="000000"/>
      <w:sz w:val="16"/>
      <w:szCs w:val="16"/>
    </w:rPr>
  </w:style>
  <w:style w:type="character" w:customStyle="1" w:styleId="slug-vol">
    <w:name w:val="slug-vol"/>
    <w:basedOn w:val="DefaultParagraphFont"/>
    <w:rsid w:val="00A879A3"/>
  </w:style>
  <w:style w:type="character" w:customStyle="1" w:styleId="slug-issue">
    <w:name w:val="slug-issue"/>
    <w:basedOn w:val="DefaultParagraphFont"/>
    <w:rsid w:val="00A879A3"/>
  </w:style>
  <w:style w:type="character" w:styleId="HTMLCite">
    <w:name w:val="HTML Cite"/>
    <w:uiPriority w:val="99"/>
    <w:semiHidden/>
    <w:unhideWhenUsed/>
    <w:rsid w:val="00A879A3"/>
    <w:rPr>
      <w:i/>
      <w:iCs/>
    </w:rPr>
  </w:style>
  <w:style w:type="character" w:customStyle="1" w:styleId="slug-pages">
    <w:name w:val="slug-pages"/>
    <w:basedOn w:val="DefaultParagraphFont"/>
    <w:rsid w:val="00A879A3"/>
  </w:style>
  <w:style w:type="character" w:styleId="Emphasis">
    <w:name w:val="Emphasis"/>
    <w:uiPriority w:val="20"/>
    <w:qFormat/>
    <w:rsid w:val="00A879A3"/>
    <w:rPr>
      <w:i/>
      <w:iCs/>
    </w:rPr>
  </w:style>
  <w:style w:type="character" w:customStyle="1" w:styleId="FontStyle41">
    <w:name w:val="Font Style41"/>
    <w:uiPriority w:val="99"/>
    <w:rsid w:val="00A879A3"/>
    <w:rPr>
      <w:rFonts w:ascii="Garamond" w:hAnsi="Garamond" w:cs="Garamond" w:hint="default"/>
      <w:color w:val="000000"/>
      <w:sz w:val="20"/>
      <w:szCs w:val="20"/>
    </w:rPr>
  </w:style>
  <w:style w:type="character" w:customStyle="1" w:styleId="st">
    <w:name w:val="st"/>
    <w:basedOn w:val="DefaultParagraphFont"/>
    <w:rsid w:val="00A879A3"/>
  </w:style>
  <w:style w:type="character" w:customStyle="1" w:styleId="FontStyle27">
    <w:name w:val="Font Style27"/>
    <w:uiPriority w:val="99"/>
    <w:rsid w:val="00A879A3"/>
    <w:rPr>
      <w:rFonts w:ascii="Book Antiqua" w:hAnsi="Book Antiqua" w:cs="Book Antiqua" w:hint="default"/>
      <w:color w:val="000000"/>
      <w:sz w:val="16"/>
      <w:szCs w:val="16"/>
    </w:rPr>
  </w:style>
  <w:style w:type="character" w:customStyle="1" w:styleId="apple-converted-space">
    <w:name w:val="apple-converted-space"/>
    <w:basedOn w:val="DefaultParagraphFont"/>
    <w:rsid w:val="00A879A3"/>
  </w:style>
  <w:style w:type="paragraph" w:styleId="NormalWeb">
    <w:name w:val="Normal (Web)"/>
    <w:basedOn w:val="Normal"/>
    <w:uiPriority w:val="99"/>
    <w:semiHidden/>
    <w:unhideWhenUsed/>
    <w:rsid w:val="00A879A3"/>
    <w:pPr>
      <w:spacing w:before="100" w:beforeAutospacing="1" w:after="100" w:afterAutospacing="1" w:line="240" w:lineRule="auto"/>
    </w:pPr>
    <w:rPr>
      <w:rFonts w:eastAsia="Times New Roman" w:cs="Times New Roman"/>
      <w:szCs w:val="24"/>
    </w:rPr>
  </w:style>
  <w:style w:type="character" w:customStyle="1" w:styleId="headnote">
    <w:name w:val="headnote"/>
    <w:basedOn w:val="DefaultParagraphFont"/>
    <w:rsid w:val="00A879A3"/>
  </w:style>
  <w:style w:type="character" w:customStyle="1" w:styleId="histyear">
    <w:name w:val="hist_year"/>
    <w:basedOn w:val="DefaultParagraphFont"/>
    <w:rsid w:val="00A879A3"/>
  </w:style>
  <w:style w:type="character" w:customStyle="1" w:styleId="histchapter">
    <w:name w:val="hist_chapter"/>
    <w:basedOn w:val="DefaultParagraphFont"/>
    <w:rsid w:val="00A879A3"/>
  </w:style>
  <w:style w:type="character" w:customStyle="1" w:styleId="histpart">
    <w:name w:val="hist_part"/>
    <w:basedOn w:val="DefaultParagraphFont"/>
    <w:rsid w:val="00A879A3"/>
  </w:style>
  <w:style w:type="character" w:customStyle="1" w:styleId="histsection">
    <w:name w:val="hist_section"/>
    <w:basedOn w:val="DefaultParagraphFont"/>
    <w:rsid w:val="00A879A3"/>
  </w:style>
  <w:style w:type="character" w:customStyle="1" w:styleId="histeffect">
    <w:name w:val="hist_effect"/>
    <w:basedOn w:val="DefaultParagraphFont"/>
    <w:rsid w:val="00A879A3"/>
  </w:style>
  <w:style w:type="character" w:styleId="FollowedHyperlink">
    <w:name w:val="FollowedHyperlink"/>
    <w:basedOn w:val="DefaultParagraphFont"/>
    <w:uiPriority w:val="99"/>
    <w:semiHidden/>
    <w:unhideWhenUsed/>
    <w:rsid w:val="00F531E3"/>
    <w:rPr>
      <w:color w:val="800080" w:themeColor="followedHyperlink"/>
      <w:u w:val="single"/>
    </w:rPr>
  </w:style>
  <w:style w:type="paragraph" w:styleId="EndnoteText">
    <w:name w:val="endnote text"/>
    <w:basedOn w:val="Normal"/>
    <w:link w:val="EndnoteTextChar"/>
    <w:uiPriority w:val="99"/>
    <w:unhideWhenUsed/>
    <w:rsid w:val="00883C73"/>
    <w:pPr>
      <w:spacing w:line="240" w:lineRule="auto"/>
    </w:pPr>
    <w:rPr>
      <w:sz w:val="20"/>
      <w:szCs w:val="20"/>
    </w:rPr>
  </w:style>
  <w:style w:type="character" w:customStyle="1" w:styleId="EndnoteTextChar">
    <w:name w:val="Endnote Text Char"/>
    <w:basedOn w:val="DefaultParagraphFont"/>
    <w:link w:val="EndnoteText"/>
    <w:uiPriority w:val="99"/>
    <w:rsid w:val="00883C73"/>
    <w:rPr>
      <w:rFonts w:ascii="Times New Roman" w:hAnsi="Times New Roman"/>
      <w:sz w:val="20"/>
      <w:szCs w:val="20"/>
    </w:rPr>
  </w:style>
  <w:style w:type="character" w:styleId="EndnoteReference">
    <w:name w:val="endnote reference"/>
    <w:basedOn w:val="DefaultParagraphFont"/>
    <w:uiPriority w:val="99"/>
    <w:semiHidden/>
    <w:unhideWhenUsed/>
    <w:rsid w:val="00883C73"/>
    <w:rPr>
      <w:vertAlign w:val="superscript"/>
    </w:rPr>
  </w:style>
  <w:style w:type="paragraph" w:styleId="PlainText">
    <w:name w:val="Plain Text"/>
    <w:basedOn w:val="Normal"/>
    <w:link w:val="PlainTextChar"/>
    <w:uiPriority w:val="99"/>
    <w:unhideWhenUsed/>
    <w:rsid w:val="007B26C7"/>
    <w:pPr>
      <w:spacing w:line="240" w:lineRule="auto"/>
    </w:pPr>
    <w:rPr>
      <w:rFonts w:ascii="Consolas" w:hAnsi="Consolas"/>
      <w:i/>
      <w:sz w:val="21"/>
      <w:szCs w:val="21"/>
    </w:rPr>
  </w:style>
  <w:style w:type="character" w:customStyle="1" w:styleId="PlainTextChar">
    <w:name w:val="Plain Text Char"/>
    <w:basedOn w:val="DefaultParagraphFont"/>
    <w:link w:val="PlainText"/>
    <w:uiPriority w:val="99"/>
    <w:rsid w:val="007B26C7"/>
    <w:rPr>
      <w:rFonts w:ascii="Consolas" w:hAnsi="Consolas"/>
      <w:i/>
      <w:sz w:val="21"/>
      <w:szCs w:val="21"/>
    </w:rPr>
  </w:style>
  <w:style w:type="paragraph" w:customStyle="1" w:styleId="Startup">
    <w:name w:val="Startup"/>
    <w:basedOn w:val="Normal"/>
    <w:rsid w:val="007B26C7"/>
    <w:pPr>
      <w:spacing w:line="240" w:lineRule="auto"/>
    </w:pPr>
    <w:rPr>
      <w:rFonts w:ascii="Times" w:eastAsia="Times New Roman" w:hAnsi="Times" w:cs="Times New Roman"/>
      <w:szCs w:val="20"/>
    </w:rPr>
  </w:style>
  <w:style w:type="table" w:styleId="LightShading">
    <w:name w:val="Light Shading"/>
    <w:basedOn w:val="TableNormal"/>
    <w:uiPriority w:val="60"/>
    <w:rsid w:val="007B26C7"/>
    <w:pPr>
      <w:spacing w:line="240" w:lineRule="auto"/>
    </w:pPr>
    <w:rPr>
      <w:rFonts w:ascii="Times New Roman" w:eastAsiaTheme="minorEastAsia" w:hAnsi="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1640A5"/>
    <w:pPr>
      <w:spacing w:after="100" w:line="240" w:lineRule="auto"/>
      <w:ind w:left="720"/>
    </w:pPr>
    <w:rPr>
      <w:rFonts w:asciiTheme="minorHAnsi" w:eastAsiaTheme="minorEastAsia" w:hAnsiTheme="minorHAnsi"/>
      <w:szCs w:val="24"/>
    </w:rPr>
  </w:style>
  <w:style w:type="paragraph" w:styleId="TOC5">
    <w:name w:val="toc 5"/>
    <w:basedOn w:val="Normal"/>
    <w:next w:val="Normal"/>
    <w:autoRedefine/>
    <w:uiPriority w:val="39"/>
    <w:unhideWhenUsed/>
    <w:rsid w:val="001640A5"/>
    <w:pPr>
      <w:spacing w:after="100" w:line="240" w:lineRule="auto"/>
      <w:ind w:left="960"/>
    </w:pPr>
    <w:rPr>
      <w:rFonts w:asciiTheme="minorHAnsi" w:eastAsiaTheme="minorEastAsia" w:hAnsiTheme="minorHAnsi"/>
      <w:szCs w:val="24"/>
    </w:rPr>
  </w:style>
  <w:style w:type="paragraph" w:styleId="TOC6">
    <w:name w:val="toc 6"/>
    <w:basedOn w:val="Normal"/>
    <w:next w:val="Normal"/>
    <w:autoRedefine/>
    <w:uiPriority w:val="39"/>
    <w:unhideWhenUsed/>
    <w:rsid w:val="001640A5"/>
    <w:pPr>
      <w:spacing w:after="100" w:line="240" w:lineRule="auto"/>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1640A5"/>
    <w:pPr>
      <w:spacing w:after="100" w:line="240" w:lineRule="auto"/>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1640A5"/>
    <w:pPr>
      <w:spacing w:after="100" w:line="240" w:lineRule="auto"/>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1640A5"/>
    <w:pPr>
      <w:spacing w:after="100" w:line="240" w:lineRule="auto"/>
      <w:ind w:left="1920"/>
    </w:pPr>
    <w:rPr>
      <w:rFonts w:asciiTheme="minorHAnsi" w:eastAsiaTheme="minorEastAsia" w:hAnsiTheme="minorHAnsi"/>
      <w:szCs w:val="24"/>
    </w:rPr>
  </w:style>
  <w:style w:type="paragraph" w:customStyle="1" w:styleId="Style11">
    <w:name w:val="Style11"/>
    <w:basedOn w:val="Normal"/>
    <w:uiPriority w:val="99"/>
    <w:rsid w:val="00DE6D59"/>
    <w:pPr>
      <w:widowControl w:val="0"/>
      <w:autoSpaceDE w:val="0"/>
      <w:autoSpaceDN w:val="0"/>
      <w:adjustRightInd w:val="0"/>
      <w:spacing w:line="240" w:lineRule="exact"/>
      <w:ind w:hanging="192"/>
      <w:jc w:val="both"/>
    </w:pPr>
    <w:rPr>
      <w:rFonts w:ascii="Book Antiqua" w:eastAsia="Times New Roman" w:hAnsi="Book Antiqua" w:cs="Book Antiqua"/>
      <w:szCs w:val="24"/>
    </w:rPr>
  </w:style>
  <w:style w:type="character" w:customStyle="1" w:styleId="FontStyle21">
    <w:name w:val="Font Style21"/>
    <w:basedOn w:val="DefaultParagraphFont"/>
    <w:uiPriority w:val="99"/>
    <w:rsid w:val="00DE6D59"/>
    <w:rPr>
      <w:rFonts w:ascii="Book Antiqua" w:hAnsi="Book Antiqua" w:cs="Book Antiqua"/>
      <w:color w:val="000000"/>
      <w:sz w:val="14"/>
      <w:szCs w:val="14"/>
    </w:rPr>
  </w:style>
  <w:style w:type="character" w:customStyle="1" w:styleId="A15">
    <w:name w:val="A15"/>
    <w:uiPriority w:val="99"/>
    <w:rsid w:val="00DE6D59"/>
    <w:rPr>
      <w:rFonts w:cs="Adobe Garamond Pro"/>
      <w:color w:val="000000"/>
      <w:sz w:val="23"/>
      <w:szCs w:val="23"/>
    </w:rPr>
  </w:style>
  <w:style w:type="character" w:customStyle="1" w:styleId="hide">
    <w:name w:val="hide"/>
    <w:basedOn w:val="DefaultParagraphFont"/>
    <w:rsid w:val="003008D2"/>
  </w:style>
  <w:style w:type="paragraph" w:customStyle="1" w:styleId="References">
    <w:name w:val="References"/>
    <w:basedOn w:val="FootnoteText"/>
    <w:link w:val="ReferencesChar"/>
    <w:uiPriority w:val="99"/>
    <w:rsid w:val="0082786C"/>
    <w:pPr>
      <w:spacing w:after="200" w:line="276" w:lineRule="auto"/>
      <w:ind w:left="720" w:hanging="720"/>
    </w:pPr>
    <w:rPr>
      <w:rFonts w:ascii="Cambria" w:eastAsia="MS Mincho" w:hAnsi="Cambria"/>
      <w:sz w:val="24"/>
    </w:rPr>
  </w:style>
  <w:style w:type="character" w:customStyle="1" w:styleId="ReferencesChar">
    <w:name w:val="References Char"/>
    <w:link w:val="References"/>
    <w:uiPriority w:val="99"/>
    <w:locked/>
    <w:rsid w:val="0082786C"/>
    <w:rPr>
      <w:rFonts w:ascii="Cambria" w:eastAsia="MS Mincho" w:hAnsi="Cambria" w:cs="Times New Roman"/>
      <w:sz w:val="24"/>
      <w:szCs w:val="20"/>
    </w:rPr>
  </w:style>
  <w:style w:type="paragraph" w:styleId="DocumentMap">
    <w:name w:val="Document Map"/>
    <w:basedOn w:val="Normal"/>
    <w:link w:val="DocumentMapChar"/>
    <w:uiPriority w:val="99"/>
    <w:semiHidden/>
    <w:unhideWhenUsed/>
    <w:rsid w:val="00A47BC5"/>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A47BC5"/>
    <w:rPr>
      <w:rFonts w:ascii="Lucida Grande" w:hAnsi="Lucida Grande"/>
      <w:sz w:val="24"/>
      <w:szCs w:val="24"/>
    </w:rPr>
  </w:style>
  <w:style w:type="paragraph" w:customStyle="1" w:styleId="head">
    <w:name w:val="head"/>
    <w:basedOn w:val="Normal"/>
    <w:rsid w:val="00A635DD"/>
    <w:rPr>
      <w:b/>
    </w:rPr>
  </w:style>
  <w:style w:type="paragraph" w:customStyle="1" w:styleId="heading">
    <w:name w:val="heading"/>
    <w:basedOn w:val="Normal"/>
    <w:rsid w:val="00BD671E"/>
    <w:pPr>
      <w:keepNext/>
      <w:keepLines/>
      <w:spacing w:before="200"/>
      <w:outlineLvl w:val="1"/>
    </w:pPr>
    <w:rPr>
      <w:rFonts w:eastAsia="MS Gothic" w:cs="Times New Roman"/>
      <w:b/>
      <w:bCs/>
      <w:caps/>
      <w:szCs w:val="24"/>
    </w:rPr>
  </w:style>
  <w:style w:type="character" w:customStyle="1" w:styleId="Heading6Char">
    <w:name w:val="Heading 6 Char"/>
    <w:basedOn w:val="DefaultParagraphFont"/>
    <w:link w:val="Heading6"/>
    <w:rsid w:val="0093627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936275"/>
    <w:rPr>
      <w:rFonts w:asciiTheme="majorHAnsi" w:eastAsiaTheme="majorEastAsia" w:hAnsiTheme="majorHAnsi" w:cstheme="majorBidi"/>
      <w:i/>
      <w:iCs/>
      <w:color w:val="404040" w:themeColor="text1" w:themeTint="BF"/>
      <w:sz w:val="24"/>
    </w:rPr>
  </w:style>
  <w:style w:type="character" w:customStyle="1" w:styleId="name4">
    <w:name w:val="name4"/>
    <w:basedOn w:val="DefaultParagraphFont"/>
    <w:rsid w:val="00926F36"/>
  </w:style>
  <w:style w:type="character" w:customStyle="1" w:styleId="position4">
    <w:name w:val="position4"/>
    <w:basedOn w:val="DefaultParagraphFont"/>
    <w:rsid w:val="00926F36"/>
  </w:style>
  <w:style w:type="character" w:customStyle="1" w:styleId="st1">
    <w:name w:val="st1"/>
    <w:basedOn w:val="DefaultParagraphFont"/>
    <w:rsid w:val="0092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402">
      <w:bodyDiv w:val="1"/>
      <w:marLeft w:val="0"/>
      <w:marRight w:val="0"/>
      <w:marTop w:val="0"/>
      <w:marBottom w:val="0"/>
      <w:divBdr>
        <w:top w:val="none" w:sz="0" w:space="0" w:color="auto"/>
        <w:left w:val="none" w:sz="0" w:space="0" w:color="auto"/>
        <w:bottom w:val="none" w:sz="0" w:space="0" w:color="auto"/>
        <w:right w:val="none" w:sz="0" w:space="0" w:color="auto"/>
      </w:divBdr>
      <w:divsChild>
        <w:div w:id="2069837007">
          <w:marLeft w:val="0"/>
          <w:marRight w:val="0"/>
          <w:marTop w:val="0"/>
          <w:marBottom w:val="0"/>
          <w:divBdr>
            <w:top w:val="none" w:sz="0" w:space="0" w:color="auto"/>
            <w:left w:val="none" w:sz="0" w:space="0" w:color="auto"/>
            <w:bottom w:val="none" w:sz="0" w:space="0" w:color="auto"/>
            <w:right w:val="none" w:sz="0" w:space="0" w:color="auto"/>
          </w:divBdr>
          <w:divsChild>
            <w:div w:id="1324120964">
              <w:marLeft w:val="0"/>
              <w:marRight w:val="0"/>
              <w:marTop w:val="0"/>
              <w:marBottom w:val="0"/>
              <w:divBdr>
                <w:top w:val="none" w:sz="0" w:space="0" w:color="auto"/>
                <w:left w:val="none" w:sz="0" w:space="0" w:color="auto"/>
                <w:bottom w:val="none" w:sz="0" w:space="0" w:color="auto"/>
                <w:right w:val="none" w:sz="0" w:space="0" w:color="auto"/>
              </w:divBdr>
              <w:divsChild>
                <w:div w:id="49810668">
                  <w:marLeft w:val="0"/>
                  <w:marRight w:val="0"/>
                  <w:marTop w:val="0"/>
                  <w:marBottom w:val="0"/>
                  <w:divBdr>
                    <w:top w:val="none" w:sz="0" w:space="0" w:color="auto"/>
                    <w:left w:val="none" w:sz="0" w:space="0" w:color="auto"/>
                    <w:bottom w:val="none" w:sz="0" w:space="0" w:color="auto"/>
                    <w:right w:val="none" w:sz="0" w:space="0" w:color="auto"/>
                  </w:divBdr>
                  <w:divsChild>
                    <w:div w:id="130294519">
                      <w:marLeft w:val="0"/>
                      <w:marRight w:val="0"/>
                      <w:marTop w:val="0"/>
                      <w:marBottom w:val="0"/>
                      <w:divBdr>
                        <w:top w:val="none" w:sz="0" w:space="0" w:color="auto"/>
                        <w:left w:val="none" w:sz="0" w:space="0" w:color="auto"/>
                        <w:bottom w:val="none" w:sz="0" w:space="0" w:color="auto"/>
                        <w:right w:val="none" w:sz="0" w:space="0" w:color="auto"/>
                      </w:divBdr>
                      <w:divsChild>
                        <w:div w:id="1400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447">
      <w:bodyDiv w:val="1"/>
      <w:marLeft w:val="0"/>
      <w:marRight w:val="0"/>
      <w:marTop w:val="0"/>
      <w:marBottom w:val="0"/>
      <w:divBdr>
        <w:top w:val="none" w:sz="0" w:space="0" w:color="auto"/>
        <w:left w:val="none" w:sz="0" w:space="0" w:color="auto"/>
        <w:bottom w:val="none" w:sz="0" w:space="0" w:color="auto"/>
        <w:right w:val="none" w:sz="0" w:space="0" w:color="auto"/>
      </w:divBdr>
      <w:divsChild>
        <w:div w:id="1138689858">
          <w:marLeft w:val="0"/>
          <w:marRight w:val="0"/>
          <w:marTop w:val="0"/>
          <w:marBottom w:val="0"/>
          <w:divBdr>
            <w:top w:val="none" w:sz="0" w:space="0" w:color="auto"/>
            <w:left w:val="none" w:sz="0" w:space="0" w:color="auto"/>
            <w:bottom w:val="none" w:sz="0" w:space="0" w:color="auto"/>
            <w:right w:val="none" w:sz="0" w:space="0" w:color="auto"/>
          </w:divBdr>
        </w:div>
        <w:div w:id="1755738987">
          <w:marLeft w:val="0"/>
          <w:marRight w:val="0"/>
          <w:marTop w:val="0"/>
          <w:marBottom w:val="0"/>
          <w:divBdr>
            <w:top w:val="none" w:sz="0" w:space="0" w:color="auto"/>
            <w:left w:val="none" w:sz="0" w:space="0" w:color="auto"/>
            <w:bottom w:val="none" w:sz="0" w:space="0" w:color="auto"/>
            <w:right w:val="none" w:sz="0" w:space="0" w:color="auto"/>
          </w:divBdr>
        </w:div>
      </w:divsChild>
    </w:div>
    <w:div w:id="101271655">
      <w:bodyDiv w:val="1"/>
      <w:marLeft w:val="0"/>
      <w:marRight w:val="0"/>
      <w:marTop w:val="0"/>
      <w:marBottom w:val="0"/>
      <w:divBdr>
        <w:top w:val="none" w:sz="0" w:space="0" w:color="auto"/>
        <w:left w:val="none" w:sz="0" w:space="0" w:color="auto"/>
        <w:bottom w:val="none" w:sz="0" w:space="0" w:color="auto"/>
        <w:right w:val="none" w:sz="0" w:space="0" w:color="auto"/>
      </w:divBdr>
    </w:div>
    <w:div w:id="117648610">
      <w:bodyDiv w:val="1"/>
      <w:marLeft w:val="0"/>
      <w:marRight w:val="0"/>
      <w:marTop w:val="0"/>
      <w:marBottom w:val="0"/>
      <w:divBdr>
        <w:top w:val="none" w:sz="0" w:space="0" w:color="auto"/>
        <w:left w:val="none" w:sz="0" w:space="0" w:color="auto"/>
        <w:bottom w:val="none" w:sz="0" w:space="0" w:color="auto"/>
        <w:right w:val="none" w:sz="0" w:space="0" w:color="auto"/>
      </w:divBdr>
    </w:div>
    <w:div w:id="118960051">
      <w:bodyDiv w:val="1"/>
      <w:marLeft w:val="0"/>
      <w:marRight w:val="0"/>
      <w:marTop w:val="0"/>
      <w:marBottom w:val="0"/>
      <w:divBdr>
        <w:top w:val="none" w:sz="0" w:space="0" w:color="auto"/>
        <w:left w:val="none" w:sz="0" w:space="0" w:color="auto"/>
        <w:bottom w:val="none" w:sz="0" w:space="0" w:color="auto"/>
        <w:right w:val="none" w:sz="0" w:space="0" w:color="auto"/>
      </w:divBdr>
    </w:div>
    <w:div w:id="198124948">
      <w:bodyDiv w:val="1"/>
      <w:marLeft w:val="0"/>
      <w:marRight w:val="0"/>
      <w:marTop w:val="0"/>
      <w:marBottom w:val="0"/>
      <w:divBdr>
        <w:top w:val="none" w:sz="0" w:space="0" w:color="auto"/>
        <w:left w:val="none" w:sz="0" w:space="0" w:color="auto"/>
        <w:bottom w:val="none" w:sz="0" w:space="0" w:color="auto"/>
        <w:right w:val="none" w:sz="0" w:space="0" w:color="auto"/>
      </w:divBdr>
    </w:div>
    <w:div w:id="325594690">
      <w:bodyDiv w:val="1"/>
      <w:marLeft w:val="0"/>
      <w:marRight w:val="0"/>
      <w:marTop w:val="0"/>
      <w:marBottom w:val="0"/>
      <w:divBdr>
        <w:top w:val="none" w:sz="0" w:space="0" w:color="auto"/>
        <w:left w:val="none" w:sz="0" w:space="0" w:color="auto"/>
        <w:bottom w:val="none" w:sz="0" w:space="0" w:color="auto"/>
        <w:right w:val="none" w:sz="0" w:space="0" w:color="auto"/>
      </w:divBdr>
    </w:div>
    <w:div w:id="349836089">
      <w:bodyDiv w:val="1"/>
      <w:marLeft w:val="0"/>
      <w:marRight w:val="0"/>
      <w:marTop w:val="0"/>
      <w:marBottom w:val="0"/>
      <w:divBdr>
        <w:top w:val="none" w:sz="0" w:space="0" w:color="auto"/>
        <w:left w:val="none" w:sz="0" w:space="0" w:color="auto"/>
        <w:bottom w:val="none" w:sz="0" w:space="0" w:color="auto"/>
        <w:right w:val="none" w:sz="0" w:space="0" w:color="auto"/>
      </w:divBdr>
    </w:div>
    <w:div w:id="408311993">
      <w:bodyDiv w:val="1"/>
      <w:marLeft w:val="0"/>
      <w:marRight w:val="0"/>
      <w:marTop w:val="0"/>
      <w:marBottom w:val="0"/>
      <w:divBdr>
        <w:top w:val="none" w:sz="0" w:space="0" w:color="auto"/>
        <w:left w:val="none" w:sz="0" w:space="0" w:color="auto"/>
        <w:bottom w:val="none" w:sz="0" w:space="0" w:color="auto"/>
        <w:right w:val="none" w:sz="0" w:space="0" w:color="auto"/>
      </w:divBdr>
    </w:div>
    <w:div w:id="408774648">
      <w:bodyDiv w:val="1"/>
      <w:marLeft w:val="0"/>
      <w:marRight w:val="0"/>
      <w:marTop w:val="0"/>
      <w:marBottom w:val="0"/>
      <w:divBdr>
        <w:top w:val="none" w:sz="0" w:space="0" w:color="auto"/>
        <w:left w:val="none" w:sz="0" w:space="0" w:color="auto"/>
        <w:bottom w:val="none" w:sz="0" w:space="0" w:color="auto"/>
        <w:right w:val="none" w:sz="0" w:space="0" w:color="auto"/>
      </w:divBdr>
      <w:divsChild>
        <w:div w:id="1130904013">
          <w:marLeft w:val="0"/>
          <w:marRight w:val="0"/>
          <w:marTop w:val="0"/>
          <w:marBottom w:val="0"/>
          <w:divBdr>
            <w:top w:val="none" w:sz="0" w:space="0" w:color="auto"/>
            <w:left w:val="none" w:sz="0" w:space="0" w:color="auto"/>
            <w:bottom w:val="none" w:sz="0" w:space="0" w:color="auto"/>
            <w:right w:val="none" w:sz="0" w:space="0" w:color="auto"/>
          </w:divBdr>
          <w:divsChild>
            <w:div w:id="585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3803">
      <w:bodyDiv w:val="1"/>
      <w:marLeft w:val="0"/>
      <w:marRight w:val="0"/>
      <w:marTop w:val="0"/>
      <w:marBottom w:val="0"/>
      <w:divBdr>
        <w:top w:val="none" w:sz="0" w:space="0" w:color="auto"/>
        <w:left w:val="none" w:sz="0" w:space="0" w:color="auto"/>
        <w:bottom w:val="none" w:sz="0" w:space="0" w:color="auto"/>
        <w:right w:val="none" w:sz="0" w:space="0" w:color="auto"/>
      </w:divBdr>
    </w:div>
    <w:div w:id="536937847">
      <w:bodyDiv w:val="1"/>
      <w:marLeft w:val="0"/>
      <w:marRight w:val="0"/>
      <w:marTop w:val="0"/>
      <w:marBottom w:val="0"/>
      <w:divBdr>
        <w:top w:val="none" w:sz="0" w:space="0" w:color="auto"/>
        <w:left w:val="none" w:sz="0" w:space="0" w:color="auto"/>
        <w:bottom w:val="none" w:sz="0" w:space="0" w:color="auto"/>
        <w:right w:val="none" w:sz="0" w:space="0" w:color="auto"/>
      </w:divBdr>
    </w:div>
    <w:div w:id="559053477">
      <w:bodyDiv w:val="1"/>
      <w:marLeft w:val="0"/>
      <w:marRight w:val="0"/>
      <w:marTop w:val="0"/>
      <w:marBottom w:val="0"/>
      <w:divBdr>
        <w:top w:val="none" w:sz="0" w:space="0" w:color="auto"/>
        <w:left w:val="none" w:sz="0" w:space="0" w:color="auto"/>
        <w:bottom w:val="none" w:sz="0" w:space="0" w:color="auto"/>
        <w:right w:val="none" w:sz="0" w:space="0" w:color="auto"/>
      </w:divBdr>
    </w:div>
    <w:div w:id="587158608">
      <w:bodyDiv w:val="1"/>
      <w:marLeft w:val="0"/>
      <w:marRight w:val="0"/>
      <w:marTop w:val="0"/>
      <w:marBottom w:val="0"/>
      <w:divBdr>
        <w:top w:val="none" w:sz="0" w:space="0" w:color="auto"/>
        <w:left w:val="none" w:sz="0" w:space="0" w:color="auto"/>
        <w:bottom w:val="none" w:sz="0" w:space="0" w:color="auto"/>
        <w:right w:val="none" w:sz="0" w:space="0" w:color="auto"/>
      </w:divBdr>
    </w:div>
    <w:div w:id="604270539">
      <w:bodyDiv w:val="1"/>
      <w:marLeft w:val="0"/>
      <w:marRight w:val="0"/>
      <w:marTop w:val="0"/>
      <w:marBottom w:val="0"/>
      <w:divBdr>
        <w:top w:val="none" w:sz="0" w:space="0" w:color="auto"/>
        <w:left w:val="none" w:sz="0" w:space="0" w:color="auto"/>
        <w:bottom w:val="none" w:sz="0" w:space="0" w:color="auto"/>
        <w:right w:val="none" w:sz="0" w:space="0" w:color="auto"/>
      </w:divBdr>
    </w:div>
    <w:div w:id="620844612">
      <w:bodyDiv w:val="1"/>
      <w:marLeft w:val="0"/>
      <w:marRight w:val="0"/>
      <w:marTop w:val="0"/>
      <w:marBottom w:val="0"/>
      <w:divBdr>
        <w:top w:val="none" w:sz="0" w:space="0" w:color="auto"/>
        <w:left w:val="none" w:sz="0" w:space="0" w:color="auto"/>
        <w:bottom w:val="none" w:sz="0" w:space="0" w:color="auto"/>
        <w:right w:val="none" w:sz="0" w:space="0" w:color="auto"/>
      </w:divBdr>
    </w:div>
    <w:div w:id="627902259">
      <w:bodyDiv w:val="1"/>
      <w:marLeft w:val="0"/>
      <w:marRight w:val="0"/>
      <w:marTop w:val="0"/>
      <w:marBottom w:val="0"/>
      <w:divBdr>
        <w:top w:val="none" w:sz="0" w:space="0" w:color="auto"/>
        <w:left w:val="none" w:sz="0" w:space="0" w:color="auto"/>
        <w:bottom w:val="none" w:sz="0" w:space="0" w:color="auto"/>
        <w:right w:val="none" w:sz="0" w:space="0" w:color="auto"/>
      </w:divBdr>
    </w:div>
    <w:div w:id="646393899">
      <w:bodyDiv w:val="1"/>
      <w:marLeft w:val="0"/>
      <w:marRight w:val="0"/>
      <w:marTop w:val="0"/>
      <w:marBottom w:val="0"/>
      <w:divBdr>
        <w:top w:val="none" w:sz="0" w:space="0" w:color="auto"/>
        <w:left w:val="none" w:sz="0" w:space="0" w:color="auto"/>
        <w:bottom w:val="none" w:sz="0" w:space="0" w:color="auto"/>
        <w:right w:val="none" w:sz="0" w:space="0" w:color="auto"/>
      </w:divBdr>
    </w:div>
    <w:div w:id="656422072">
      <w:bodyDiv w:val="1"/>
      <w:marLeft w:val="0"/>
      <w:marRight w:val="0"/>
      <w:marTop w:val="0"/>
      <w:marBottom w:val="0"/>
      <w:divBdr>
        <w:top w:val="none" w:sz="0" w:space="0" w:color="auto"/>
        <w:left w:val="none" w:sz="0" w:space="0" w:color="auto"/>
        <w:bottom w:val="none" w:sz="0" w:space="0" w:color="auto"/>
        <w:right w:val="none" w:sz="0" w:space="0" w:color="auto"/>
      </w:divBdr>
    </w:div>
    <w:div w:id="696077551">
      <w:bodyDiv w:val="1"/>
      <w:marLeft w:val="0"/>
      <w:marRight w:val="0"/>
      <w:marTop w:val="0"/>
      <w:marBottom w:val="0"/>
      <w:divBdr>
        <w:top w:val="none" w:sz="0" w:space="0" w:color="auto"/>
        <w:left w:val="none" w:sz="0" w:space="0" w:color="auto"/>
        <w:bottom w:val="none" w:sz="0" w:space="0" w:color="auto"/>
        <w:right w:val="none" w:sz="0" w:space="0" w:color="auto"/>
      </w:divBdr>
      <w:divsChild>
        <w:div w:id="1924681380">
          <w:marLeft w:val="0"/>
          <w:marRight w:val="0"/>
          <w:marTop w:val="0"/>
          <w:marBottom w:val="0"/>
          <w:divBdr>
            <w:top w:val="none" w:sz="0" w:space="0" w:color="auto"/>
            <w:left w:val="none" w:sz="0" w:space="0" w:color="auto"/>
            <w:bottom w:val="none" w:sz="0" w:space="0" w:color="auto"/>
            <w:right w:val="none" w:sz="0" w:space="0" w:color="auto"/>
          </w:divBdr>
        </w:div>
        <w:div w:id="287246641">
          <w:marLeft w:val="0"/>
          <w:marRight w:val="0"/>
          <w:marTop w:val="0"/>
          <w:marBottom w:val="0"/>
          <w:divBdr>
            <w:top w:val="none" w:sz="0" w:space="0" w:color="auto"/>
            <w:left w:val="none" w:sz="0" w:space="0" w:color="auto"/>
            <w:bottom w:val="none" w:sz="0" w:space="0" w:color="auto"/>
            <w:right w:val="none" w:sz="0" w:space="0" w:color="auto"/>
          </w:divBdr>
        </w:div>
      </w:divsChild>
    </w:div>
    <w:div w:id="703747011">
      <w:bodyDiv w:val="1"/>
      <w:marLeft w:val="0"/>
      <w:marRight w:val="0"/>
      <w:marTop w:val="0"/>
      <w:marBottom w:val="0"/>
      <w:divBdr>
        <w:top w:val="none" w:sz="0" w:space="0" w:color="auto"/>
        <w:left w:val="none" w:sz="0" w:space="0" w:color="auto"/>
        <w:bottom w:val="none" w:sz="0" w:space="0" w:color="auto"/>
        <w:right w:val="none" w:sz="0" w:space="0" w:color="auto"/>
      </w:divBdr>
    </w:div>
    <w:div w:id="708067513">
      <w:bodyDiv w:val="1"/>
      <w:marLeft w:val="0"/>
      <w:marRight w:val="0"/>
      <w:marTop w:val="0"/>
      <w:marBottom w:val="0"/>
      <w:divBdr>
        <w:top w:val="none" w:sz="0" w:space="0" w:color="auto"/>
        <w:left w:val="none" w:sz="0" w:space="0" w:color="auto"/>
        <w:bottom w:val="none" w:sz="0" w:space="0" w:color="auto"/>
        <w:right w:val="none" w:sz="0" w:space="0" w:color="auto"/>
      </w:divBdr>
    </w:div>
    <w:div w:id="781150292">
      <w:bodyDiv w:val="1"/>
      <w:marLeft w:val="0"/>
      <w:marRight w:val="0"/>
      <w:marTop w:val="0"/>
      <w:marBottom w:val="0"/>
      <w:divBdr>
        <w:top w:val="none" w:sz="0" w:space="0" w:color="auto"/>
        <w:left w:val="none" w:sz="0" w:space="0" w:color="auto"/>
        <w:bottom w:val="none" w:sz="0" w:space="0" w:color="auto"/>
        <w:right w:val="none" w:sz="0" w:space="0" w:color="auto"/>
      </w:divBdr>
    </w:div>
    <w:div w:id="810051584">
      <w:bodyDiv w:val="1"/>
      <w:marLeft w:val="0"/>
      <w:marRight w:val="0"/>
      <w:marTop w:val="0"/>
      <w:marBottom w:val="0"/>
      <w:divBdr>
        <w:top w:val="none" w:sz="0" w:space="0" w:color="auto"/>
        <w:left w:val="none" w:sz="0" w:space="0" w:color="auto"/>
        <w:bottom w:val="none" w:sz="0" w:space="0" w:color="auto"/>
        <w:right w:val="none" w:sz="0" w:space="0" w:color="auto"/>
      </w:divBdr>
    </w:div>
    <w:div w:id="868180157">
      <w:bodyDiv w:val="1"/>
      <w:marLeft w:val="0"/>
      <w:marRight w:val="0"/>
      <w:marTop w:val="0"/>
      <w:marBottom w:val="0"/>
      <w:divBdr>
        <w:top w:val="none" w:sz="0" w:space="0" w:color="auto"/>
        <w:left w:val="none" w:sz="0" w:space="0" w:color="auto"/>
        <w:bottom w:val="none" w:sz="0" w:space="0" w:color="auto"/>
        <w:right w:val="none" w:sz="0" w:space="0" w:color="auto"/>
      </w:divBdr>
    </w:div>
    <w:div w:id="887760121">
      <w:bodyDiv w:val="1"/>
      <w:marLeft w:val="0"/>
      <w:marRight w:val="0"/>
      <w:marTop w:val="0"/>
      <w:marBottom w:val="0"/>
      <w:divBdr>
        <w:top w:val="none" w:sz="0" w:space="0" w:color="auto"/>
        <w:left w:val="none" w:sz="0" w:space="0" w:color="auto"/>
        <w:bottom w:val="none" w:sz="0" w:space="0" w:color="auto"/>
        <w:right w:val="none" w:sz="0" w:space="0" w:color="auto"/>
      </w:divBdr>
    </w:div>
    <w:div w:id="918558863">
      <w:bodyDiv w:val="1"/>
      <w:marLeft w:val="0"/>
      <w:marRight w:val="0"/>
      <w:marTop w:val="0"/>
      <w:marBottom w:val="0"/>
      <w:divBdr>
        <w:top w:val="none" w:sz="0" w:space="0" w:color="auto"/>
        <w:left w:val="none" w:sz="0" w:space="0" w:color="auto"/>
        <w:bottom w:val="none" w:sz="0" w:space="0" w:color="auto"/>
        <w:right w:val="none" w:sz="0" w:space="0" w:color="auto"/>
      </w:divBdr>
      <w:divsChild>
        <w:div w:id="1631862868">
          <w:marLeft w:val="0"/>
          <w:marRight w:val="0"/>
          <w:marTop w:val="0"/>
          <w:marBottom w:val="0"/>
          <w:divBdr>
            <w:top w:val="none" w:sz="0" w:space="0" w:color="auto"/>
            <w:left w:val="none" w:sz="0" w:space="0" w:color="auto"/>
            <w:bottom w:val="none" w:sz="0" w:space="0" w:color="auto"/>
            <w:right w:val="none" w:sz="0" w:space="0" w:color="auto"/>
          </w:divBdr>
        </w:div>
        <w:div w:id="1788770329">
          <w:marLeft w:val="0"/>
          <w:marRight w:val="0"/>
          <w:marTop w:val="0"/>
          <w:marBottom w:val="0"/>
          <w:divBdr>
            <w:top w:val="none" w:sz="0" w:space="0" w:color="auto"/>
            <w:left w:val="none" w:sz="0" w:space="0" w:color="auto"/>
            <w:bottom w:val="none" w:sz="0" w:space="0" w:color="auto"/>
            <w:right w:val="none" w:sz="0" w:space="0" w:color="auto"/>
          </w:divBdr>
        </w:div>
        <w:div w:id="236978526">
          <w:marLeft w:val="0"/>
          <w:marRight w:val="0"/>
          <w:marTop w:val="0"/>
          <w:marBottom w:val="0"/>
          <w:divBdr>
            <w:top w:val="none" w:sz="0" w:space="0" w:color="auto"/>
            <w:left w:val="none" w:sz="0" w:space="0" w:color="auto"/>
            <w:bottom w:val="none" w:sz="0" w:space="0" w:color="auto"/>
            <w:right w:val="none" w:sz="0" w:space="0" w:color="auto"/>
          </w:divBdr>
        </w:div>
        <w:div w:id="1931545124">
          <w:marLeft w:val="0"/>
          <w:marRight w:val="0"/>
          <w:marTop w:val="0"/>
          <w:marBottom w:val="0"/>
          <w:divBdr>
            <w:top w:val="none" w:sz="0" w:space="0" w:color="auto"/>
            <w:left w:val="none" w:sz="0" w:space="0" w:color="auto"/>
            <w:bottom w:val="none" w:sz="0" w:space="0" w:color="auto"/>
            <w:right w:val="none" w:sz="0" w:space="0" w:color="auto"/>
          </w:divBdr>
        </w:div>
        <w:div w:id="219486493">
          <w:marLeft w:val="0"/>
          <w:marRight w:val="0"/>
          <w:marTop w:val="0"/>
          <w:marBottom w:val="0"/>
          <w:divBdr>
            <w:top w:val="none" w:sz="0" w:space="0" w:color="auto"/>
            <w:left w:val="none" w:sz="0" w:space="0" w:color="auto"/>
            <w:bottom w:val="none" w:sz="0" w:space="0" w:color="auto"/>
            <w:right w:val="none" w:sz="0" w:space="0" w:color="auto"/>
          </w:divBdr>
        </w:div>
        <w:div w:id="2041395530">
          <w:marLeft w:val="0"/>
          <w:marRight w:val="0"/>
          <w:marTop w:val="0"/>
          <w:marBottom w:val="0"/>
          <w:divBdr>
            <w:top w:val="none" w:sz="0" w:space="0" w:color="auto"/>
            <w:left w:val="none" w:sz="0" w:space="0" w:color="auto"/>
            <w:bottom w:val="none" w:sz="0" w:space="0" w:color="auto"/>
            <w:right w:val="none" w:sz="0" w:space="0" w:color="auto"/>
          </w:divBdr>
        </w:div>
        <w:div w:id="1418012519">
          <w:marLeft w:val="0"/>
          <w:marRight w:val="0"/>
          <w:marTop w:val="0"/>
          <w:marBottom w:val="0"/>
          <w:divBdr>
            <w:top w:val="none" w:sz="0" w:space="0" w:color="auto"/>
            <w:left w:val="none" w:sz="0" w:space="0" w:color="auto"/>
            <w:bottom w:val="none" w:sz="0" w:space="0" w:color="auto"/>
            <w:right w:val="none" w:sz="0" w:space="0" w:color="auto"/>
          </w:divBdr>
        </w:div>
      </w:divsChild>
    </w:div>
    <w:div w:id="937833735">
      <w:bodyDiv w:val="1"/>
      <w:marLeft w:val="0"/>
      <w:marRight w:val="0"/>
      <w:marTop w:val="0"/>
      <w:marBottom w:val="0"/>
      <w:divBdr>
        <w:top w:val="none" w:sz="0" w:space="0" w:color="auto"/>
        <w:left w:val="none" w:sz="0" w:space="0" w:color="auto"/>
        <w:bottom w:val="none" w:sz="0" w:space="0" w:color="auto"/>
        <w:right w:val="none" w:sz="0" w:space="0" w:color="auto"/>
      </w:divBdr>
    </w:div>
    <w:div w:id="968516997">
      <w:bodyDiv w:val="1"/>
      <w:marLeft w:val="0"/>
      <w:marRight w:val="0"/>
      <w:marTop w:val="0"/>
      <w:marBottom w:val="0"/>
      <w:divBdr>
        <w:top w:val="none" w:sz="0" w:space="0" w:color="auto"/>
        <w:left w:val="none" w:sz="0" w:space="0" w:color="auto"/>
        <w:bottom w:val="none" w:sz="0" w:space="0" w:color="auto"/>
        <w:right w:val="none" w:sz="0" w:space="0" w:color="auto"/>
      </w:divBdr>
    </w:div>
    <w:div w:id="977027489">
      <w:bodyDiv w:val="1"/>
      <w:marLeft w:val="0"/>
      <w:marRight w:val="0"/>
      <w:marTop w:val="0"/>
      <w:marBottom w:val="0"/>
      <w:divBdr>
        <w:top w:val="none" w:sz="0" w:space="0" w:color="auto"/>
        <w:left w:val="none" w:sz="0" w:space="0" w:color="auto"/>
        <w:bottom w:val="none" w:sz="0" w:space="0" w:color="auto"/>
        <w:right w:val="none" w:sz="0" w:space="0" w:color="auto"/>
      </w:divBdr>
    </w:div>
    <w:div w:id="1064260273">
      <w:bodyDiv w:val="1"/>
      <w:marLeft w:val="0"/>
      <w:marRight w:val="0"/>
      <w:marTop w:val="0"/>
      <w:marBottom w:val="0"/>
      <w:divBdr>
        <w:top w:val="none" w:sz="0" w:space="0" w:color="auto"/>
        <w:left w:val="none" w:sz="0" w:space="0" w:color="auto"/>
        <w:bottom w:val="none" w:sz="0" w:space="0" w:color="auto"/>
        <w:right w:val="none" w:sz="0" w:space="0" w:color="auto"/>
      </w:divBdr>
    </w:div>
    <w:div w:id="1064989669">
      <w:bodyDiv w:val="1"/>
      <w:marLeft w:val="0"/>
      <w:marRight w:val="0"/>
      <w:marTop w:val="0"/>
      <w:marBottom w:val="0"/>
      <w:divBdr>
        <w:top w:val="none" w:sz="0" w:space="0" w:color="auto"/>
        <w:left w:val="none" w:sz="0" w:space="0" w:color="auto"/>
        <w:bottom w:val="none" w:sz="0" w:space="0" w:color="auto"/>
        <w:right w:val="none" w:sz="0" w:space="0" w:color="auto"/>
      </w:divBdr>
    </w:div>
    <w:div w:id="1161114358">
      <w:bodyDiv w:val="1"/>
      <w:marLeft w:val="0"/>
      <w:marRight w:val="0"/>
      <w:marTop w:val="0"/>
      <w:marBottom w:val="0"/>
      <w:divBdr>
        <w:top w:val="none" w:sz="0" w:space="0" w:color="auto"/>
        <w:left w:val="none" w:sz="0" w:space="0" w:color="auto"/>
        <w:bottom w:val="none" w:sz="0" w:space="0" w:color="auto"/>
        <w:right w:val="none" w:sz="0" w:space="0" w:color="auto"/>
      </w:divBdr>
    </w:div>
    <w:div w:id="1184974589">
      <w:bodyDiv w:val="1"/>
      <w:marLeft w:val="0"/>
      <w:marRight w:val="0"/>
      <w:marTop w:val="0"/>
      <w:marBottom w:val="0"/>
      <w:divBdr>
        <w:top w:val="none" w:sz="0" w:space="0" w:color="auto"/>
        <w:left w:val="none" w:sz="0" w:space="0" w:color="auto"/>
        <w:bottom w:val="none" w:sz="0" w:space="0" w:color="auto"/>
        <w:right w:val="none" w:sz="0" w:space="0" w:color="auto"/>
      </w:divBdr>
    </w:div>
    <w:div w:id="1215627460">
      <w:bodyDiv w:val="1"/>
      <w:marLeft w:val="0"/>
      <w:marRight w:val="0"/>
      <w:marTop w:val="0"/>
      <w:marBottom w:val="0"/>
      <w:divBdr>
        <w:top w:val="none" w:sz="0" w:space="0" w:color="auto"/>
        <w:left w:val="none" w:sz="0" w:space="0" w:color="auto"/>
        <w:bottom w:val="none" w:sz="0" w:space="0" w:color="auto"/>
        <w:right w:val="none" w:sz="0" w:space="0" w:color="auto"/>
      </w:divBdr>
      <w:divsChild>
        <w:div w:id="1377967541">
          <w:marLeft w:val="0"/>
          <w:marRight w:val="0"/>
          <w:marTop w:val="0"/>
          <w:marBottom w:val="0"/>
          <w:divBdr>
            <w:top w:val="none" w:sz="0" w:space="0" w:color="auto"/>
            <w:left w:val="none" w:sz="0" w:space="0" w:color="auto"/>
            <w:bottom w:val="none" w:sz="0" w:space="0" w:color="auto"/>
            <w:right w:val="none" w:sz="0" w:space="0" w:color="auto"/>
          </w:divBdr>
          <w:divsChild>
            <w:div w:id="975569502">
              <w:marLeft w:val="0"/>
              <w:marRight w:val="0"/>
              <w:marTop w:val="0"/>
              <w:marBottom w:val="0"/>
              <w:divBdr>
                <w:top w:val="none" w:sz="0" w:space="0" w:color="auto"/>
                <w:left w:val="none" w:sz="0" w:space="0" w:color="auto"/>
                <w:bottom w:val="none" w:sz="0" w:space="0" w:color="auto"/>
                <w:right w:val="none" w:sz="0" w:space="0" w:color="auto"/>
              </w:divBdr>
              <w:divsChild>
                <w:div w:id="1522474428">
                  <w:marLeft w:val="0"/>
                  <w:marRight w:val="0"/>
                  <w:marTop w:val="0"/>
                  <w:marBottom w:val="0"/>
                  <w:divBdr>
                    <w:top w:val="none" w:sz="0" w:space="0" w:color="auto"/>
                    <w:left w:val="none" w:sz="0" w:space="0" w:color="auto"/>
                    <w:bottom w:val="none" w:sz="0" w:space="0" w:color="auto"/>
                    <w:right w:val="none" w:sz="0" w:space="0" w:color="auto"/>
                  </w:divBdr>
                  <w:divsChild>
                    <w:div w:id="2127964318">
                      <w:marLeft w:val="0"/>
                      <w:marRight w:val="0"/>
                      <w:marTop w:val="0"/>
                      <w:marBottom w:val="0"/>
                      <w:divBdr>
                        <w:top w:val="none" w:sz="0" w:space="0" w:color="auto"/>
                        <w:left w:val="none" w:sz="0" w:space="0" w:color="auto"/>
                        <w:bottom w:val="none" w:sz="0" w:space="0" w:color="auto"/>
                        <w:right w:val="none" w:sz="0" w:space="0" w:color="auto"/>
                      </w:divBdr>
                      <w:divsChild>
                        <w:div w:id="720642217">
                          <w:marLeft w:val="0"/>
                          <w:marRight w:val="0"/>
                          <w:marTop w:val="0"/>
                          <w:marBottom w:val="0"/>
                          <w:divBdr>
                            <w:top w:val="none" w:sz="0" w:space="0" w:color="auto"/>
                            <w:left w:val="none" w:sz="0" w:space="0" w:color="auto"/>
                            <w:bottom w:val="none" w:sz="0" w:space="0" w:color="auto"/>
                            <w:right w:val="none" w:sz="0" w:space="0" w:color="auto"/>
                          </w:divBdr>
                          <w:divsChild>
                            <w:div w:id="425469375">
                              <w:marLeft w:val="0"/>
                              <w:marRight w:val="0"/>
                              <w:marTop w:val="0"/>
                              <w:marBottom w:val="0"/>
                              <w:divBdr>
                                <w:top w:val="none" w:sz="0" w:space="0" w:color="auto"/>
                                <w:left w:val="none" w:sz="0" w:space="0" w:color="auto"/>
                                <w:bottom w:val="none" w:sz="0" w:space="0" w:color="auto"/>
                                <w:right w:val="none" w:sz="0" w:space="0" w:color="auto"/>
                              </w:divBdr>
                              <w:divsChild>
                                <w:div w:id="1582639501">
                                  <w:marLeft w:val="0"/>
                                  <w:marRight w:val="0"/>
                                  <w:marTop w:val="0"/>
                                  <w:marBottom w:val="0"/>
                                  <w:divBdr>
                                    <w:top w:val="none" w:sz="0" w:space="0" w:color="auto"/>
                                    <w:left w:val="none" w:sz="0" w:space="0" w:color="auto"/>
                                    <w:bottom w:val="none" w:sz="0" w:space="0" w:color="auto"/>
                                    <w:right w:val="none" w:sz="0" w:space="0" w:color="auto"/>
                                  </w:divBdr>
                                  <w:divsChild>
                                    <w:div w:id="404301849">
                                      <w:marLeft w:val="0"/>
                                      <w:marRight w:val="0"/>
                                      <w:marTop w:val="0"/>
                                      <w:marBottom w:val="0"/>
                                      <w:divBdr>
                                        <w:top w:val="none" w:sz="0" w:space="0" w:color="auto"/>
                                        <w:left w:val="none" w:sz="0" w:space="0" w:color="auto"/>
                                        <w:bottom w:val="none" w:sz="0" w:space="0" w:color="auto"/>
                                        <w:right w:val="none" w:sz="0" w:space="0" w:color="auto"/>
                                      </w:divBdr>
                                      <w:divsChild>
                                        <w:div w:id="563876289">
                                          <w:marLeft w:val="0"/>
                                          <w:marRight w:val="0"/>
                                          <w:marTop w:val="0"/>
                                          <w:marBottom w:val="0"/>
                                          <w:divBdr>
                                            <w:top w:val="none" w:sz="0" w:space="0" w:color="auto"/>
                                            <w:left w:val="none" w:sz="0" w:space="0" w:color="auto"/>
                                            <w:bottom w:val="none" w:sz="0" w:space="0" w:color="auto"/>
                                            <w:right w:val="none" w:sz="0" w:space="0" w:color="auto"/>
                                          </w:divBdr>
                                          <w:divsChild>
                                            <w:div w:id="18443978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229837">
                                                  <w:marLeft w:val="0"/>
                                                  <w:marRight w:val="0"/>
                                                  <w:marTop w:val="0"/>
                                                  <w:marBottom w:val="0"/>
                                                  <w:divBdr>
                                                    <w:top w:val="none" w:sz="0" w:space="0" w:color="auto"/>
                                                    <w:left w:val="none" w:sz="0" w:space="0" w:color="auto"/>
                                                    <w:bottom w:val="none" w:sz="0" w:space="0" w:color="auto"/>
                                                    <w:right w:val="none" w:sz="0" w:space="0" w:color="auto"/>
                                                  </w:divBdr>
                                                  <w:divsChild>
                                                    <w:div w:id="2045935447">
                                                      <w:marLeft w:val="0"/>
                                                      <w:marRight w:val="0"/>
                                                      <w:marTop w:val="0"/>
                                                      <w:marBottom w:val="0"/>
                                                      <w:divBdr>
                                                        <w:top w:val="none" w:sz="0" w:space="0" w:color="auto"/>
                                                        <w:left w:val="none" w:sz="0" w:space="0" w:color="auto"/>
                                                        <w:bottom w:val="none" w:sz="0" w:space="0" w:color="auto"/>
                                                        <w:right w:val="none" w:sz="0" w:space="0" w:color="auto"/>
                                                      </w:divBdr>
                                                      <w:divsChild>
                                                        <w:div w:id="1822232310">
                                                          <w:marLeft w:val="0"/>
                                                          <w:marRight w:val="0"/>
                                                          <w:marTop w:val="0"/>
                                                          <w:marBottom w:val="0"/>
                                                          <w:divBdr>
                                                            <w:top w:val="none" w:sz="0" w:space="0" w:color="auto"/>
                                                            <w:left w:val="none" w:sz="0" w:space="0" w:color="auto"/>
                                                            <w:bottom w:val="none" w:sz="0" w:space="0" w:color="auto"/>
                                                            <w:right w:val="none" w:sz="0" w:space="0" w:color="auto"/>
                                                          </w:divBdr>
                                                          <w:divsChild>
                                                            <w:div w:id="665397050">
                                                              <w:marLeft w:val="0"/>
                                                              <w:marRight w:val="0"/>
                                                              <w:marTop w:val="0"/>
                                                              <w:marBottom w:val="0"/>
                                                              <w:divBdr>
                                                                <w:top w:val="none" w:sz="0" w:space="0" w:color="auto"/>
                                                                <w:left w:val="none" w:sz="0" w:space="0" w:color="auto"/>
                                                                <w:bottom w:val="none" w:sz="0" w:space="0" w:color="auto"/>
                                                                <w:right w:val="none" w:sz="0" w:space="0" w:color="auto"/>
                                                              </w:divBdr>
                                                              <w:divsChild>
                                                                <w:div w:id="590940762">
                                                                  <w:marLeft w:val="0"/>
                                                                  <w:marRight w:val="0"/>
                                                                  <w:marTop w:val="0"/>
                                                                  <w:marBottom w:val="0"/>
                                                                  <w:divBdr>
                                                                    <w:top w:val="none" w:sz="0" w:space="0" w:color="auto"/>
                                                                    <w:left w:val="none" w:sz="0" w:space="0" w:color="auto"/>
                                                                    <w:bottom w:val="none" w:sz="0" w:space="0" w:color="auto"/>
                                                                    <w:right w:val="none" w:sz="0" w:space="0" w:color="auto"/>
                                                                  </w:divBdr>
                                                                  <w:divsChild>
                                                                    <w:div w:id="567107291">
                                                                      <w:marLeft w:val="0"/>
                                                                      <w:marRight w:val="0"/>
                                                                      <w:marTop w:val="0"/>
                                                                      <w:marBottom w:val="0"/>
                                                                      <w:divBdr>
                                                                        <w:top w:val="none" w:sz="0" w:space="0" w:color="auto"/>
                                                                        <w:left w:val="none" w:sz="0" w:space="0" w:color="auto"/>
                                                                        <w:bottom w:val="none" w:sz="0" w:space="0" w:color="auto"/>
                                                                        <w:right w:val="none" w:sz="0" w:space="0" w:color="auto"/>
                                                                      </w:divBdr>
                                                                      <w:divsChild>
                                                                        <w:div w:id="1046946692">
                                                                          <w:marLeft w:val="0"/>
                                                                          <w:marRight w:val="0"/>
                                                                          <w:marTop w:val="0"/>
                                                                          <w:marBottom w:val="0"/>
                                                                          <w:divBdr>
                                                                            <w:top w:val="none" w:sz="0" w:space="0" w:color="auto"/>
                                                                            <w:left w:val="none" w:sz="0" w:space="0" w:color="auto"/>
                                                                            <w:bottom w:val="none" w:sz="0" w:space="0" w:color="auto"/>
                                                                            <w:right w:val="none" w:sz="0" w:space="0" w:color="auto"/>
                                                                          </w:divBdr>
                                                                          <w:divsChild>
                                                                            <w:div w:id="702485136">
                                                                              <w:marLeft w:val="0"/>
                                                                              <w:marRight w:val="0"/>
                                                                              <w:marTop w:val="0"/>
                                                                              <w:marBottom w:val="0"/>
                                                                              <w:divBdr>
                                                                                <w:top w:val="none" w:sz="0" w:space="0" w:color="auto"/>
                                                                                <w:left w:val="none" w:sz="0" w:space="0" w:color="auto"/>
                                                                                <w:bottom w:val="none" w:sz="0" w:space="0" w:color="auto"/>
                                                                                <w:right w:val="none" w:sz="0" w:space="0" w:color="auto"/>
                                                                              </w:divBdr>
                                                                              <w:divsChild>
                                                                                <w:div w:id="1400252753">
                                                                                  <w:marLeft w:val="0"/>
                                                                                  <w:marRight w:val="0"/>
                                                                                  <w:marTop w:val="0"/>
                                                                                  <w:marBottom w:val="0"/>
                                                                                  <w:divBdr>
                                                                                    <w:top w:val="none" w:sz="0" w:space="0" w:color="auto"/>
                                                                                    <w:left w:val="none" w:sz="0" w:space="0" w:color="auto"/>
                                                                                    <w:bottom w:val="none" w:sz="0" w:space="0" w:color="auto"/>
                                                                                    <w:right w:val="none" w:sz="0" w:space="0" w:color="auto"/>
                                                                                  </w:divBdr>
                                                                                  <w:divsChild>
                                                                                    <w:div w:id="1960450158">
                                                                                      <w:marLeft w:val="0"/>
                                                                                      <w:marRight w:val="0"/>
                                                                                      <w:marTop w:val="0"/>
                                                                                      <w:marBottom w:val="0"/>
                                                                                      <w:divBdr>
                                                                                        <w:top w:val="none" w:sz="0" w:space="0" w:color="auto"/>
                                                                                        <w:left w:val="none" w:sz="0" w:space="0" w:color="auto"/>
                                                                                        <w:bottom w:val="none" w:sz="0" w:space="0" w:color="auto"/>
                                                                                        <w:right w:val="none" w:sz="0" w:space="0" w:color="auto"/>
                                                                                      </w:divBdr>
                                                                                      <w:divsChild>
                                                                                        <w:div w:id="1340308515">
                                                                                          <w:marLeft w:val="0"/>
                                                                                          <w:marRight w:val="0"/>
                                                                                          <w:marTop w:val="0"/>
                                                                                          <w:marBottom w:val="0"/>
                                                                                          <w:divBdr>
                                                                                            <w:top w:val="none" w:sz="0" w:space="0" w:color="auto"/>
                                                                                            <w:left w:val="none" w:sz="0" w:space="0" w:color="auto"/>
                                                                                            <w:bottom w:val="none" w:sz="0" w:space="0" w:color="auto"/>
                                                                                            <w:right w:val="none" w:sz="0" w:space="0" w:color="auto"/>
                                                                                          </w:divBdr>
                                                                                          <w:divsChild>
                                                                                            <w:div w:id="972833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190567">
                                                                                                  <w:marLeft w:val="0"/>
                                                                                                  <w:marRight w:val="0"/>
                                                                                                  <w:marTop w:val="0"/>
                                                                                                  <w:marBottom w:val="0"/>
                                                                                                  <w:divBdr>
                                                                                                    <w:top w:val="none" w:sz="0" w:space="0" w:color="auto"/>
                                                                                                    <w:left w:val="none" w:sz="0" w:space="0" w:color="auto"/>
                                                                                                    <w:bottom w:val="none" w:sz="0" w:space="0" w:color="auto"/>
                                                                                                    <w:right w:val="none" w:sz="0" w:space="0" w:color="auto"/>
                                                                                                  </w:divBdr>
                                                                                                  <w:divsChild>
                                                                                                    <w:div w:id="333142599">
                                                                                                      <w:marLeft w:val="0"/>
                                                                                                      <w:marRight w:val="0"/>
                                                                                                      <w:marTop w:val="0"/>
                                                                                                      <w:marBottom w:val="0"/>
                                                                                                      <w:divBdr>
                                                                                                        <w:top w:val="none" w:sz="0" w:space="0" w:color="auto"/>
                                                                                                        <w:left w:val="none" w:sz="0" w:space="0" w:color="auto"/>
                                                                                                        <w:bottom w:val="none" w:sz="0" w:space="0" w:color="auto"/>
                                                                                                        <w:right w:val="none" w:sz="0" w:space="0" w:color="auto"/>
                                                                                                      </w:divBdr>
                                                                                                      <w:divsChild>
                                                                                                        <w:div w:id="1704287599">
                                                                                                          <w:marLeft w:val="0"/>
                                                                                                          <w:marRight w:val="0"/>
                                                                                                          <w:marTop w:val="0"/>
                                                                                                          <w:marBottom w:val="0"/>
                                                                                                          <w:divBdr>
                                                                                                            <w:top w:val="none" w:sz="0" w:space="0" w:color="auto"/>
                                                                                                            <w:left w:val="none" w:sz="0" w:space="0" w:color="auto"/>
                                                                                                            <w:bottom w:val="none" w:sz="0" w:space="0" w:color="auto"/>
                                                                                                            <w:right w:val="none" w:sz="0" w:space="0" w:color="auto"/>
                                                                                                          </w:divBdr>
                                                                                                          <w:divsChild>
                                                                                                            <w:div w:id="2009558063">
                                                                                                              <w:marLeft w:val="0"/>
                                                                                                              <w:marRight w:val="0"/>
                                                                                                              <w:marTop w:val="0"/>
                                                                                                              <w:marBottom w:val="0"/>
                                                                                                              <w:divBdr>
                                                                                                                <w:top w:val="none" w:sz="0" w:space="0" w:color="auto"/>
                                                                                                                <w:left w:val="none" w:sz="0" w:space="0" w:color="auto"/>
                                                                                                                <w:bottom w:val="none" w:sz="0" w:space="0" w:color="auto"/>
                                                                                                                <w:right w:val="none" w:sz="0" w:space="0" w:color="auto"/>
                                                                                                              </w:divBdr>
                                                                                                              <w:divsChild>
                                                                                                                <w:div w:id="505750637">
                                                                                                                  <w:marLeft w:val="0"/>
                                                                                                                  <w:marRight w:val="0"/>
                                                                                                                  <w:marTop w:val="0"/>
                                                                                                                  <w:marBottom w:val="0"/>
                                                                                                                  <w:divBdr>
                                                                                                                    <w:top w:val="single" w:sz="2" w:space="4" w:color="D8D8D8"/>
                                                                                                                    <w:left w:val="single" w:sz="2" w:space="0" w:color="D8D8D8"/>
                                                                                                                    <w:bottom w:val="single" w:sz="2" w:space="4" w:color="D8D8D8"/>
                                                                                                                    <w:right w:val="single" w:sz="2" w:space="0" w:color="D8D8D8"/>
                                                                                                                  </w:divBdr>
                                                                                                                  <w:divsChild>
                                                                                                                    <w:div w:id="1022126642">
                                                                                                                      <w:marLeft w:val="225"/>
                                                                                                                      <w:marRight w:val="225"/>
                                                                                                                      <w:marTop w:val="75"/>
                                                                                                                      <w:marBottom w:val="75"/>
                                                                                                                      <w:divBdr>
                                                                                                                        <w:top w:val="none" w:sz="0" w:space="0" w:color="auto"/>
                                                                                                                        <w:left w:val="none" w:sz="0" w:space="0" w:color="auto"/>
                                                                                                                        <w:bottom w:val="none" w:sz="0" w:space="0" w:color="auto"/>
                                                                                                                        <w:right w:val="none" w:sz="0" w:space="0" w:color="auto"/>
                                                                                                                      </w:divBdr>
                                                                                                                      <w:divsChild>
                                                                                                                        <w:div w:id="1779983732">
                                                                                                                          <w:marLeft w:val="0"/>
                                                                                                                          <w:marRight w:val="0"/>
                                                                                                                          <w:marTop w:val="0"/>
                                                                                                                          <w:marBottom w:val="0"/>
                                                                                                                          <w:divBdr>
                                                                                                                            <w:top w:val="none" w:sz="0" w:space="0" w:color="auto"/>
                                                                                                                            <w:left w:val="none" w:sz="0" w:space="0" w:color="auto"/>
                                                                                                                            <w:bottom w:val="none" w:sz="0" w:space="0" w:color="auto"/>
                                                                                                                            <w:right w:val="none" w:sz="0" w:space="0" w:color="auto"/>
                                                                                                                          </w:divBdr>
                                                                                                                          <w:divsChild>
                                                                                                                            <w:div w:id="726342314">
                                                                                                                              <w:marLeft w:val="0"/>
                                                                                                                              <w:marRight w:val="0"/>
                                                                                                                              <w:marTop w:val="0"/>
                                                                                                                              <w:marBottom w:val="0"/>
                                                                                                                              <w:divBdr>
                                                                                                                                <w:top w:val="none" w:sz="0" w:space="0" w:color="auto"/>
                                                                                                                                <w:left w:val="none" w:sz="0" w:space="0" w:color="auto"/>
                                                                                                                                <w:bottom w:val="none" w:sz="0" w:space="0" w:color="auto"/>
                                                                                                                                <w:right w:val="none" w:sz="0" w:space="0" w:color="auto"/>
                                                                                                                              </w:divBdr>
                                                                                                                              <w:divsChild>
                                                                                                                                <w:div w:id="183402239">
                                                                                                                                  <w:marLeft w:val="0"/>
                                                                                                                                  <w:marRight w:val="0"/>
                                                                                                                                  <w:marTop w:val="0"/>
                                                                                                                                  <w:marBottom w:val="0"/>
                                                                                                                                  <w:divBdr>
                                                                                                                                    <w:top w:val="none" w:sz="0" w:space="0" w:color="auto"/>
                                                                                                                                    <w:left w:val="none" w:sz="0" w:space="0" w:color="auto"/>
                                                                                                                                    <w:bottom w:val="none" w:sz="0" w:space="0" w:color="auto"/>
                                                                                                                                    <w:right w:val="none" w:sz="0" w:space="0" w:color="auto"/>
                                                                                                                                  </w:divBdr>
                                                                                                                                  <w:divsChild>
                                                                                                                                    <w:div w:id="1730957071">
                                                                                                                                      <w:marLeft w:val="0"/>
                                                                                                                                      <w:marRight w:val="0"/>
                                                                                                                                      <w:marTop w:val="0"/>
                                                                                                                                      <w:marBottom w:val="0"/>
                                                                                                                                      <w:divBdr>
                                                                                                                                        <w:top w:val="none" w:sz="0" w:space="0" w:color="auto"/>
                                                                                                                                        <w:left w:val="none" w:sz="0" w:space="0" w:color="auto"/>
                                                                                                                                        <w:bottom w:val="none" w:sz="0" w:space="0" w:color="auto"/>
                                                                                                                                        <w:right w:val="none" w:sz="0" w:space="0" w:color="auto"/>
                                                                                                                                      </w:divBdr>
                                                                                                                                      <w:divsChild>
                                                                                                                                        <w:div w:id="628245448">
                                                                                                                                          <w:marLeft w:val="0"/>
                                                                                                                                          <w:marRight w:val="0"/>
                                                                                                                                          <w:marTop w:val="0"/>
                                                                                                                                          <w:marBottom w:val="0"/>
                                                                                                                                          <w:divBdr>
                                                                                                                                            <w:top w:val="none" w:sz="0" w:space="0" w:color="auto"/>
                                                                                                                                            <w:left w:val="none" w:sz="0" w:space="0" w:color="auto"/>
                                                                                                                                            <w:bottom w:val="none" w:sz="0" w:space="0" w:color="auto"/>
                                                                                                                                            <w:right w:val="none" w:sz="0" w:space="0" w:color="auto"/>
                                                                                                                                          </w:divBdr>
                                                                                                                                          <w:divsChild>
                                                                                                                                            <w:div w:id="307250742">
                                                                                                                                              <w:marLeft w:val="0"/>
                                                                                                                                              <w:marRight w:val="0"/>
                                                                                                                                              <w:marTop w:val="0"/>
                                                                                                                                              <w:marBottom w:val="0"/>
                                                                                                                                              <w:divBdr>
                                                                                                                                                <w:top w:val="none" w:sz="0" w:space="0" w:color="auto"/>
                                                                                                                                                <w:left w:val="none" w:sz="0" w:space="0" w:color="auto"/>
                                                                                                                                                <w:bottom w:val="none" w:sz="0" w:space="0" w:color="auto"/>
                                                                                                                                                <w:right w:val="none" w:sz="0" w:space="0" w:color="auto"/>
                                                                                                                                              </w:divBdr>
                                                                                                                                            </w:div>
                                                                                                                                            <w:div w:id="309138874">
                                                                                                                                              <w:marLeft w:val="0"/>
                                                                                                                                              <w:marRight w:val="0"/>
                                                                                                                                              <w:marTop w:val="0"/>
                                                                                                                                              <w:marBottom w:val="0"/>
                                                                                                                                              <w:divBdr>
                                                                                                                                                <w:top w:val="none" w:sz="0" w:space="0" w:color="auto"/>
                                                                                                                                                <w:left w:val="none" w:sz="0" w:space="0" w:color="auto"/>
                                                                                                                                                <w:bottom w:val="none" w:sz="0" w:space="0" w:color="auto"/>
                                                                                                                                                <w:right w:val="none" w:sz="0" w:space="0" w:color="auto"/>
                                                                                                                                              </w:divBdr>
                                                                                                                                            </w:div>
                                                                                                                                            <w:div w:id="382020684">
                                                                                                                                              <w:marLeft w:val="0"/>
                                                                                                                                              <w:marRight w:val="0"/>
                                                                                                                                              <w:marTop w:val="0"/>
                                                                                                                                              <w:marBottom w:val="0"/>
                                                                                                                                              <w:divBdr>
                                                                                                                                                <w:top w:val="none" w:sz="0" w:space="0" w:color="auto"/>
                                                                                                                                                <w:left w:val="none" w:sz="0" w:space="0" w:color="auto"/>
                                                                                                                                                <w:bottom w:val="none" w:sz="0" w:space="0" w:color="auto"/>
                                                                                                                                                <w:right w:val="none" w:sz="0" w:space="0" w:color="auto"/>
                                                                                                                                              </w:divBdr>
                                                                                                                                            </w:div>
                                                                                                                                            <w:div w:id="2015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3965">
      <w:bodyDiv w:val="1"/>
      <w:marLeft w:val="0"/>
      <w:marRight w:val="0"/>
      <w:marTop w:val="0"/>
      <w:marBottom w:val="0"/>
      <w:divBdr>
        <w:top w:val="none" w:sz="0" w:space="0" w:color="auto"/>
        <w:left w:val="none" w:sz="0" w:space="0" w:color="auto"/>
        <w:bottom w:val="none" w:sz="0" w:space="0" w:color="auto"/>
        <w:right w:val="none" w:sz="0" w:space="0" w:color="auto"/>
      </w:divBdr>
    </w:div>
    <w:div w:id="1387989919">
      <w:bodyDiv w:val="1"/>
      <w:marLeft w:val="0"/>
      <w:marRight w:val="0"/>
      <w:marTop w:val="0"/>
      <w:marBottom w:val="0"/>
      <w:divBdr>
        <w:top w:val="none" w:sz="0" w:space="0" w:color="auto"/>
        <w:left w:val="none" w:sz="0" w:space="0" w:color="auto"/>
        <w:bottom w:val="none" w:sz="0" w:space="0" w:color="auto"/>
        <w:right w:val="none" w:sz="0" w:space="0" w:color="auto"/>
      </w:divBdr>
    </w:div>
    <w:div w:id="1399521409">
      <w:bodyDiv w:val="1"/>
      <w:marLeft w:val="0"/>
      <w:marRight w:val="0"/>
      <w:marTop w:val="0"/>
      <w:marBottom w:val="0"/>
      <w:divBdr>
        <w:top w:val="none" w:sz="0" w:space="0" w:color="auto"/>
        <w:left w:val="none" w:sz="0" w:space="0" w:color="auto"/>
        <w:bottom w:val="none" w:sz="0" w:space="0" w:color="auto"/>
        <w:right w:val="none" w:sz="0" w:space="0" w:color="auto"/>
      </w:divBdr>
    </w:div>
    <w:div w:id="1416517766">
      <w:bodyDiv w:val="1"/>
      <w:marLeft w:val="0"/>
      <w:marRight w:val="0"/>
      <w:marTop w:val="0"/>
      <w:marBottom w:val="0"/>
      <w:divBdr>
        <w:top w:val="none" w:sz="0" w:space="0" w:color="auto"/>
        <w:left w:val="none" w:sz="0" w:space="0" w:color="auto"/>
        <w:bottom w:val="none" w:sz="0" w:space="0" w:color="auto"/>
        <w:right w:val="none" w:sz="0" w:space="0" w:color="auto"/>
      </w:divBdr>
    </w:div>
    <w:div w:id="1430202246">
      <w:bodyDiv w:val="1"/>
      <w:marLeft w:val="0"/>
      <w:marRight w:val="0"/>
      <w:marTop w:val="0"/>
      <w:marBottom w:val="0"/>
      <w:divBdr>
        <w:top w:val="none" w:sz="0" w:space="0" w:color="auto"/>
        <w:left w:val="none" w:sz="0" w:space="0" w:color="auto"/>
        <w:bottom w:val="none" w:sz="0" w:space="0" w:color="auto"/>
        <w:right w:val="none" w:sz="0" w:space="0" w:color="auto"/>
      </w:divBdr>
    </w:div>
    <w:div w:id="1451365062">
      <w:bodyDiv w:val="1"/>
      <w:marLeft w:val="0"/>
      <w:marRight w:val="0"/>
      <w:marTop w:val="0"/>
      <w:marBottom w:val="0"/>
      <w:divBdr>
        <w:top w:val="none" w:sz="0" w:space="0" w:color="auto"/>
        <w:left w:val="none" w:sz="0" w:space="0" w:color="auto"/>
        <w:bottom w:val="none" w:sz="0" w:space="0" w:color="auto"/>
        <w:right w:val="none" w:sz="0" w:space="0" w:color="auto"/>
      </w:divBdr>
    </w:div>
    <w:div w:id="1454471728">
      <w:bodyDiv w:val="1"/>
      <w:marLeft w:val="0"/>
      <w:marRight w:val="0"/>
      <w:marTop w:val="0"/>
      <w:marBottom w:val="0"/>
      <w:divBdr>
        <w:top w:val="none" w:sz="0" w:space="0" w:color="auto"/>
        <w:left w:val="none" w:sz="0" w:space="0" w:color="auto"/>
        <w:bottom w:val="none" w:sz="0" w:space="0" w:color="auto"/>
        <w:right w:val="none" w:sz="0" w:space="0" w:color="auto"/>
      </w:divBdr>
    </w:div>
    <w:div w:id="1457289691">
      <w:bodyDiv w:val="1"/>
      <w:marLeft w:val="0"/>
      <w:marRight w:val="0"/>
      <w:marTop w:val="0"/>
      <w:marBottom w:val="0"/>
      <w:divBdr>
        <w:top w:val="none" w:sz="0" w:space="0" w:color="auto"/>
        <w:left w:val="none" w:sz="0" w:space="0" w:color="auto"/>
        <w:bottom w:val="none" w:sz="0" w:space="0" w:color="auto"/>
        <w:right w:val="none" w:sz="0" w:space="0" w:color="auto"/>
      </w:divBdr>
    </w:div>
    <w:div w:id="1508399727">
      <w:bodyDiv w:val="1"/>
      <w:marLeft w:val="0"/>
      <w:marRight w:val="0"/>
      <w:marTop w:val="0"/>
      <w:marBottom w:val="0"/>
      <w:divBdr>
        <w:top w:val="none" w:sz="0" w:space="0" w:color="auto"/>
        <w:left w:val="none" w:sz="0" w:space="0" w:color="auto"/>
        <w:bottom w:val="none" w:sz="0" w:space="0" w:color="auto"/>
        <w:right w:val="none" w:sz="0" w:space="0" w:color="auto"/>
      </w:divBdr>
    </w:div>
    <w:div w:id="1513717557">
      <w:bodyDiv w:val="1"/>
      <w:marLeft w:val="0"/>
      <w:marRight w:val="0"/>
      <w:marTop w:val="0"/>
      <w:marBottom w:val="0"/>
      <w:divBdr>
        <w:top w:val="none" w:sz="0" w:space="0" w:color="auto"/>
        <w:left w:val="none" w:sz="0" w:space="0" w:color="auto"/>
        <w:bottom w:val="none" w:sz="0" w:space="0" w:color="auto"/>
        <w:right w:val="none" w:sz="0" w:space="0" w:color="auto"/>
      </w:divBdr>
    </w:div>
    <w:div w:id="1522470506">
      <w:bodyDiv w:val="1"/>
      <w:marLeft w:val="0"/>
      <w:marRight w:val="0"/>
      <w:marTop w:val="0"/>
      <w:marBottom w:val="0"/>
      <w:divBdr>
        <w:top w:val="none" w:sz="0" w:space="0" w:color="auto"/>
        <w:left w:val="none" w:sz="0" w:space="0" w:color="auto"/>
        <w:bottom w:val="none" w:sz="0" w:space="0" w:color="auto"/>
        <w:right w:val="none" w:sz="0" w:space="0" w:color="auto"/>
      </w:divBdr>
    </w:div>
    <w:div w:id="1538590550">
      <w:bodyDiv w:val="1"/>
      <w:marLeft w:val="0"/>
      <w:marRight w:val="0"/>
      <w:marTop w:val="0"/>
      <w:marBottom w:val="0"/>
      <w:divBdr>
        <w:top w:val="none" w:sz="0" w:space="0" w:color="auto"/>
        <w:left w:val="none" w:sz="0" w:space="0" w:color="auto"/>
        <w:bottom w:val="none" w:sz="0" w:space="0" w:color="auto"/>
        <w:right w:val="none" w:sz="0" w:space="0" w:color="auto"/>
      </w:divBdr>
    </w:div>
    <w:div w:id="1604411402">
      <w:bodyDiv w:val="1"/>
      <w:marLeft w:val="0"/>
      <w:marRight w:val="0"/>
      <w:marTop w:val="0"/>
      <w:marBottom w:val="0"/>
      <w:divBdr>
        <w:top w:val="none" w:sz="0" w:space="0" w:color="auto"/>
        <w:left w:val="none" w:sz="0" w:space="0" w:color="auto"/>
        <w:bottom w:val="none" w:sz="0" w:space="0" w:color="auto"/>
        <w:right w:val="none" w:sz="0" w:space="0" w:color="auto"/>
      </w:divBdr>
    </w:div>
    <w:div w:id="1606419137">
      <w:bodyDiv w:val="1"/>
      <w:marLeft w:val="0"/>
      <w:marRight w:val="0"/>
      <w:marTop w:val="0"/>
      <w:marBottom w:val="0"/>
      <w:divBdr>
        <w:top w:val="none" w:sz="0" w:space="0" w:color="auto"/>
        <w:left w:val="none" w:sz="0" w:space="0" w:color="auto"/>
        <w:bottom w:val="none" w:sz="0" w:space="0" w:color="auto"/>
        <w:right w:val="none" w:sz="0" w:space="0" w:color="auto"/>
      </w:divBdr>
    </w:div>
    <w:div w:id="1611401415">
      <w:bodyDiv w:val="1"/>
      <w:marLeft w:val="0"/>
      <w:marRight w:val="0"/>
      <w:marTop w:val="0"/>
      <w:marBottom w:val="0"/>
      <w:divBdr>
        <w:top w:val="none" w:sz="0" w:space="0" w:color="auto"/>
        <w:left w:val="none" w:sz="0" w:space="0" w:color="auto"/>
        <w:bottom w:val="none" w:sz="0" w:space="0" w:color="auto"/>
        <w:right w:val="none" w:sz="0" w:space="0" w:color="auto"/>
      </w:divBdr>
    </w:div>
    <w:div w:id="1641887940">
      <w:bodyDiv w:val="1"/>
      <w:marLeft w:val="0"/>
      <w:marRight w:val="0"/>
      <w:marTop w:val="0"/>
      <w:marBottom w:val="0"/>
      <w:divBdr>
        <w:top w:val="none" w:sz="0" w:space="0" w:color="auto"/>
        <w:left w:val="none" w:sz="0" w:space="0" w:color="auto"/>
        <w:bottom w:val="none" w:sz="0" w:space="0" w:color="auto"/>
        <w:right w:val="none" w:sz="0" w:space="0" w:color="auto"/>
      </w:divBdr>
    </w:div>
    <w:div w:id="1660303824">
      <w:bodyDiv w:val="1"/>
      <w:marLeft w:val="0"/>
      <w:marRight w:val="0"/>
      <w:marTop w:val="0"/>
      <w:marBottom w:val="0"/>
      <w:divBdr>
        <w:top w:val="none" w:sz="0" w:space="0" w:color="auto"/>
        <w:left w:val="none" w:sz="0" w:space="0" w:color="auto"/>
        <w:bottom w:val="none" w:sz="0" w:space="0" w:color="auto"/>
        <w:right w:val="none" w:sz="0" w:space="0" w:color="auto"/>
      </w:divBdr>
    </w:div>
    <w:div w:id="1803881706">
      <w:bodyDiv w:val="1"/>
      <w:marLeft w:val="0"/>
      <w:marRight w:val="0"/>
      <w:marTop w:val="0"/>
      <w:marBottom w:val="0"/>
      <w:divBdr>
        <w:top w:val="none" w:sz="0" w:space="0" w:color="auto"/>
        <w:left w:val="none" w:sz="0" w:space="0" w:color="auto"/>
        <w:bottom w:val="none" w:sz="0" w:space="0" w:color="auto"/>
        <w:right w:val="none" w:sz="0" w:space="0" w:color="auto"/>
      </w:divBdr>
    </w:div>
    <w:div w:id="1856073926">
      <w:bodyDiv w:val="1"/>
      <w:marLeft w:val="0"/>
      <w:marRight w:val="0"/>
      <w:marTop w:val="0"/>
      <w:marBottom w:val="0"/>
      <w:divBdr>
        <w:top w:val="none" w:sz="0" w:space="0" w:color="auto"/>
        <w:left w:val="none" w:sz="0" w:space="0" w:color="auto"/>
        <w:bottom w:val="none" w:sz="0" w:space="0" w:color="auto"/>
        <w:right w:val="none" w:sz="0" w:space="0" w:color="auto"/>
      </w:divBdr>
    </w:div>
    <w:div w:id="1876041475">
      <w:bodyDiv w:val="1"/>
      <w:marLeft w:val="0"/>
      <w:marRight w:val="0"/>
      <w:marTop w:val="0"/>
      <w:marBottom w:val="0"/>
      <w:divBdr>
        <w:top w:val="none" w:sz="0" w:space="0" w:color="auto"/>
        <w:left w:val="none" w:sz="0" w:space="0" w:color="auto"/>
        <w:bottom w:val="none" w:sz="0" w:space="0" w:color="auto"/>
        <w:right w:val="none" w:sz="0" w:space="0" w:color="auto"/>
      </w:divBdr>
    </w:div>
    <w:div w:id="1881823642">
      <w:bodyDiv w:val="1"/>
      <w:marLeft w:val="0"/>
      <w:marRight w:val="0"/>
      <w:marTop w:val="0"/>
      <w:marBottom w:val="0"/>
      <w:divBdr>
        <w:top w:val="none" w:sz="0" w:space="0" w:color="auto"/>
        <w:left w:val="none" w:sz="0" w:space="0" w:color="auto"/>
        <w:bottom w:val="none" w:sz="0" w:space="0" w:color="auto"/>
        <w:right w:val="none" w:sz="0" w:space="0" w:color="auto"/>
      </w:divBdr>
    </w:div>
    <w:div w:id="1891262954">
      <w:bodyDiv w:val="1"/>
      <w:marLeft w:val="0"/>
      <w:marRight w:val="0"/>
      <w:marTop w:val="0"/>
      <w:marBottom w:val="0"/>
      <w:divBdr>
        <w:top w:val="none" w:sz="0" w:space="0" w:color="auto"/>
        <w:left w:val="none" w:sz="0" w:space="0" w:color="auto"/>
        <w:bottom w:val="none" w:sz="0" w:space="0" w:color="auto"/>
        <w:right w:val="none" w:sz="0" w:space="0" w:color="auto"/>
      </w:divBdr>
    </w:div>
    <w:div w:id="1921017991">
      <w:bodyDiv w:val="1"/>
      <w:marLeft w:val="0"/>
      <w:marRight w:val="0"/>
      <w:marTop w:val="0"/>
      <w:marBottom w:val="0"/>
      <w:divBdr>
        <w:top w:val="none" w:sz="0" w:space="0" w:color="auto"/>
        <w:left w:val="none" w:sz="0" w:space="0" w:color="auto"/>
        <w:bottom w:val="none" w:sz="0" w:space="0" w:color="auto"/>
        <w:right w:val="none" w:sz="0" w:space="0" w:color="auto"/>
      </w:divBdr>
    </w:div>
    <w:div w:id="1937979267">
      <w:bodyDiv w:val="1"/>
      <w:marLeft w:val="0"/>
      <w:marRight w:val="0"/>
      <w:marTop w:val="0"/>
      <w:marBottom w:val="0"/>
      <w:divBdr>
        <w:top w:val="none" w:sz="0" w:space="0" w:color="auto"/>
        <w:left w:val="none" w:sz="0" w:space="0" w:color="auto"/>
        <w:bottom w:val="none" w:sz="0" w:space="0" w:color="auto"/>
        <w:right w:val="none" w:sz="0" w:space="0" w:color="auto"/>
      </w:divBdr>
    </w:div>
    <w:div w:id="20333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chart" Target="charts/chart6.xml"/><Relationship Id="rId39" Type="http://schemas.openxmlformats.org/officeDocument/2006/relationships/image" Target="media/image10.emf"/><Relationship Id="rId21" Type="http://schemas.openxmlformats.org/officeDocument/2006/relationships/chart" Target="charts/chart1.xml"/><Relationship Id="rId34" Type="http://schemas.openxmlformats.org/officeDocument/2006/relationships/hyperlink" Target="http://dibels.uoregon.edu" TargetMode="External"/><Relationship Id="rId42" Type="http://schemas.openxmlformats.org/officeDocument/2006/relationships/hyperlink" Target="http://www.ed.gov/NCES/pubs/96344cha.html" TargetMode="External"/><Relationship Id="rId47" Type="http://schemas.openxmlformats.org/officeDocument/2006/relationships/hyperlink" Target="http://education.ky.gov/districts/SEEK/Pages/default.aspx" TargetMode="External"/><Relationship Id="rId50" Type="http://schemas.openxmlformats.org/officeDocument/2006/relationships/hyperlink" Target="http://nces.ed.gov/ccd/" TargetMode="External"/><Relationship Id="rId55" Type="http://schemas.openxmlformats.org/officeDocument/2006/relationships/hyperlink" Target="http://www.tea.state.tx.us/index4.aspx?id=2928&amp;menu_id=949" TargetMode="External"/><Relationship Id="rId63"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4.xml"/><Relationship Id="rId32" Type="http://schemas.openxmlformats.org/officeDocument/2006/relationships/image" Target="media/image6.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hyperlink" Target="http://www.wcer.wisc.edu/publications/workingPapers/papers.php" TargetMode="External"/><Relationship Id="rId53" Type="http://schemas.openxmlformats.org/officeDocument/2006/relationships/hyperlink" Target="http://www.edexcellence.net" TargetMode="External"/><Relationship Id="rId58" Type="http://schemas.openxmlformats.org/officeDocument/2006/relationships/hyperlink" Target="http://www2.ed.gov/about/overview/budget/budget13/justifications/c-impactaid.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3.xml"/><Relationship Id="rId28" Type="http://schemas.openxmlformats.org/officeDocument/2006/relationships/image" Target="media/image2.emf"/><Relationship Id="rId36" Type="http://schemas.openxmlformats.org/officeDocument/2006/relationships/image" Target="media/image7.emf"/><Relationship Id="rId49" Type="http://schemas.openxmlformats.org/officeDocument/2006/relationships/hyperlink" Target="http://nces.ed.gov/nationsreportcard/faq.asp" TargetMode="External"/><Relationship Id="rId57" Type="http://schemas.openxmlformats.org/officeDocument/2006/relationships/hyperlink" Target="http://www.clir.org/pubs/reports/pub120/contents.html" TargetMode="External"/><Relationship Id="rId61"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5.emf"/><Relationship Id="rId44" Type="http://schemas.openxmlformats.org/officeDocument/2006/relationships/hyperlink" Target="http://www.ers.org" TargetMode="External"/><Relationship Id="rId52" Type="http://schemas.openxmlformats.org/officeDocument/2006/relationships/hyperlink" Target="http://www.lpicus.com" TargetMode="External"/><Relationship Id="rId60" Type="http://schemas.openxmlformats.org/officeDocument/2006/relationships/hyperlink" Target="http://www.nwea.org" TargetMode="External"/><Relationship Id="rId65" Type="http://schemas.openxmlformats.org/officeDocument/2006/relationships/theme" Target="theme/theme1.xml"/><Relationship Id="rId78"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image" Target="media/image4.emf"/><Relationship Id="rId35" Type="http://schemas.openxmlformats.org/officeDocument/2006/relationships/hyperlink" Target="http://www.wirelessgeneration.com" TargetMode="External"/><Relationship Id="rId43" Type="http://schemas.openxmlformats.org/officeDocument/2006/relationships/hyperlink" Target="http://www.amazon.com/Learning-Doing-Handbook-Professional-Communities/dp/1935542095/ref=sr_1_1?s=books&amp;ie=UTF8&amp;qid=1330622463&amp;sr=1-1" TargetMode="External"/><Relationship Id="rId48" Type="http://schemas.openxmlformats.org/officeDocument/2006/relationships/hyperlink" Target="http://www/irs.princeton.edu/pubs/working_papers.html" TargetMode="External"/><Relationship Id="rId56" Type="http://schemas.openxmlformats.org/officeDocument/2006/relationships/hyperlink" Target="http://www.capitol.state.tx.us/psf/reports.htm" TargetMode="External"/><Relationship Id="rId64" Type="http://schemas.openxmlformats.org/officeDocument/2006/relationships/fontTable" Target="fontTable.xml"/><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www.lpicus.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chart" Target="charts/chart5.xml"/><Relationship Id="rId33" Type="http://schemas.openxmlformats.org/officeDocument/2006/relationships/hyperlink" Target="http://www.nwea.org" TargetMode="External"/><Relationship Id="rId38" Type="http://schemas.openxmlformats.org/officeDocument/2006/relationships/image" Target="media/image9.emf"/><Relationship Id="rId46" Type="http://schemas.openxmlformats.org/officeDocument/2006/relationships/hyperlink" Target="http://education.ky.gov/districts/fac/Pages/Facility-Planning.aspx" TargetMode="External"/><Relationship Id="rId59" Type="http://schemas.openxmlformats.org/officeDocument/2006/relationships/hyperlink" Target="http://www.pltw.org" TargetMode="External"/><Relationship Id="rId20" Type="http://schemas.openxmlformats.org/officeDocument/2006/relationships/header" Target="header5.xml"/><Relationship Id="rId41" Type="http://schemas.openxmlformats.org/officeDocument/2006/relationships/hyperlink" Target="http://bush.tamu.edu/research/faculty/taylor_CWI/" TargetMode="External"/><Relationship Id="rId54" Type="http://schemas.openxmlformats.org/officeDocument/2006/relationships/hyperlink" Target="http://www.sciencemag.org" TargetMode="External"/><Relationship Id="rId62"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ichaelgriffith:Documents:Kentucky:Kentucky%20-%20Finance%202014%20%20(Apri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606827792359302"/>
          <c:y val="3.07377049180328E-2"/>
          <c:w val="0.84234652960046696"/>
          <c:h val="0.54290410804182299"/>
        </c:manualLayout>
      </c:layout>
      <c:lineChart>
        <c:grouping val="standard"/>
        <c:varyColors val="0"/>
        <c:ser>
          <c:idx val="0"/>
          <c:order val="0"/>
          <c:tx>
            <c:v>National Average</c:v>
          </c:tx>
          <c:marker>
            <c:symbol val="none"/>
          </c:marker>
          <c:cat>
            <c:strRef>
              <c:f>'Per Pupil NEA'!$O$2:$X$2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'Per Pupil NEA'!$O$3:$X$3</c:f>
              <c:numCache>
                <c:formatCode>"$"#,##0</c:formatCode>
                <c:ptCount val="10"/>
                <c:pt idx="0">
                  <c:v>8248</c:v>
                </c:pt>
                <c:pt idx="1">
                  <c:v>8661</c:v>
                </c:pt>
                <c:pt idx="2">
                  <c:v>9100</c:v>
                </c:pt>
                <c:pt idx="3">
                  <c:v>9557</c:v>
                </c:pt>
                <c:pt idx="4">
                  <c:v>9963</c:v>
                </c:pt>
                <c:pt idx="5">
                  <c:v>10190</c:v>
                </c:pt>
                <c:pt idx="6">
                  <c:v>10586</c:v>
                </c:pt>
                <c:pt idx="7">
                  <c:v>10770</c:v>
                </c:pt>
                <c:pt idx="8">
                  <c:v>10834</c:v>
                </c:pt>
                <c:pt idx="9">
                  <c:v>10938</c:v>
                </c:pt>
              </c:numCache>
            </c:numRef>
          </c:val>
          <c:smooth val="0"/>
        </c:ser>
        <c:ser>
          <c:idx val="1"/>
          <c:order val="1"/>
          <c:tx>
            <c:v>Kentucky</c:v>
          </c:tx>
          <c:spPr>
            <a:ln>
              <a:prstDash val="dash"/>
            </a:ln>
          </c:spPr>
          <c:marker>
            <c:symbol val="none"/>
          </c:marker>
          <c:cat>
            <c:strRef>
              <c:f>'Per Pupil NEA'!$O$2:$X$2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'Per Pupil NEA'!$O$21:$X$21</c:f>
              <c:numCache>
                <c:formatCode>"$"#,##0</c:formatCode>
                <c:ptCount val="10"/>
                <c:pt idx="0">
                  <c:v>7279</c:v>
                </c:pt>
                <c:pt idx="1">
                  <c:v>7610</c:v>
                </c:pt>
                <c:pt idx="2">
                  <c:v>7807</c:v>
                </c:pt>
                <c:pt idx="3">
                  <c:v>8141</c:v>
                </c:pt>
                <c:pt idx="4">
                  <c:v>8432</c:v>
                </c:pt>
                <c:pt idx="5">
                  <c:v>9203</c:v>
                </c:pt>
                <c:pt idx="6">
                  <c:v>9455</c:v>
                </c:pt>
                <c:pt idx="7">
                  <c:v>9484</c:v>
                </c:pt>
                <c:pt idx="8">
                  <c:v>9435</c:v>
                </c:pt>
                <c:pt idx="9">
                  <c:v>9609</c:v>
                </c:pt>
              </c:numCache>
            </c:numRef>
          </c:val>
          <c:smooth val="0"/>
        </c:ser>
        <c:ser>
          <c:idx val="2"/>
          <c:order val="2"/>
          <c:marker>
            <c:symbol val="none"/>
          </c:marker>
          <c:cat>
            <c:strRef>
              <c:f>'Per Pupil NEA'!$O$2:$X$2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Lit>
              <c:formatCode>General</c:formatCode>
              <c:ptCount val="1"/>
              <c:pt idx="0">
                <c:v>1</c:v>
              </c:pt>
            </c:numLit>
          </c:val>
          <c:smooth val="0"/>
        </c:ser>
        <c:dLbls>
          <c:showLegendKey val="0"/>
          <c:showVal val="0"/>
          <c:showCatName val="0"/>
          <c:showSerName val="0"/>
          <c:showPercent val="0"/>
          <c:showBubbleSize val="0"/>
        </c:dLbls>
        <c:marker val="1"/>
        <c:smooth val="0"/>
        <c:axId val="78274560"/>
        <c:axId val="78276096"/>
      </c:lineChart>
      <c:catAx>
        <c:axId val="78274560"/>
        <c:scaling>
          <c:orientation val="minMax"/>
        </c:scaling>
        <c:delete val="0"/>
        <c:axPos val="b"/>
        <c:numFmt formatCode="General" sourceLinked="0"/>
        <c:majorTickMark val="none"/>
        <c:minorTickMark val="none"/>
        <c:tickLblPos val="nextTo"/>
        <c:txPr>
          <a:bodyPr rot="2760000"/>
          <a:lstStyle/>
          <a:p>
            <a:pPr>
              <a:defRPr/>
            </a:pPr>
            <a:endParaRPr lang="en-US"/>
          </a:p>
        </c:txPr>
        <c:crossAx val="78276096"/>
        <c:crosses val="autoZero"/>
        <c:auto val="1"/>
        <c:lblAlgn val="ctr"/>
        <c:lblOffset val="100"/>
        <c:noMultiLvlLbl val="0"/>
      </c:catAx>
      <c:valAx>
        <c:axId val="78276096"/>
        <c:scaling>
          <c:orientation val="minMax"/>
          <c:min val="7000"/>
        </c:scaling>
        <c:delete val="0"/>
        <c:axPos val="l"/>
        <c:numFmt formatCode="&quot;$&quot;#,##0" sourceLinked="1"/>
        <c:majorTickMark val="none"/>
        <c:minorTickMark val="none"/>
        <c:tickLblPos val="nextTo"/>
        <c:crossAx val="78274560"/>
        <c:crosses val="autoZero"/>
        <c:crossBetween val="between"/>
      </c:valAx>
    </c:plotArea>
    <c:legend>
      <c:legendPos val="b"/>
      <c:legendEntry>
        <c:idx val="2"/>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606827792359302"/>
          <c:y val="3.07377049180328E-2"/>
          <c:w val="0.84234652960046696"/>
          <c:h val="0.54290410804182299"/>
        </c:manualLayout>
      </c:layout>
      <c:lineChart>
        <c:grouping val="standard"/>
        <c:varyColors val="0"/>
        <c:ser>
          <c:idx val="0"/>
          <c:order val="0"/>
          <c:tx>
            <c:v>National Average</c:v>
          </c:tx>
          <c:marker>
            <c:symbol val="none"/>
          </c:marker>
          <c:cat>
            <c:strRef>
              <c:f>'Per Pupil NEA'!$O$2:$X$2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'Per Pupil NEA'!$O$3:$X$3</c:f>
              <c:numCache>
                <c:formatCode>"$"#,##0</c:formatCode>
                <c:ptCount val="10"/>
                <c:pt idx="0">
                  <c:v>8248</c:v>
                </c:pt>
                <c:pt idx="1">
                  <c:v>8661</c:v>
                </c:pt>
                <c:pt idx="2">
                  <c:v>9100</c:v>
                </c:pt>
                <c:pt idx="3">
                  <c:v>9557</c:v>
                </c:pt>
                <c:pt idx="4">
                  <c:v>9963</c:v>
                </c:pt>
                <c:pt idx="5">
                  <c:v>10190</c:v>
                </c:pt>
                <c:pt idx="6">
                  <c:v>10586</c:v>
                </c:pt>
                <c:pt idx="7">
                  <c:v>10770</c:v>
                </c:pt>
                <c:pt idx="8">
                  <c:v>10834</c:v>
                </c:pt>
                <c:pt idx="9">
                  <c:v>10938</c:v>
                </c:pt>
              </c:numCache>
            </c:numRef>
          </c:val>
          <c:smooth val="0"/>
        </c:ser>
        <c:ser>
          <c:idx val="1"/>
          <c:order val="1"/>
          <c:tx>
            <c:v>Kentucky</c:v>
          </c:tx>
          <c:marker>
            <c:symbol val="none"/>
          </c:marker>
          <c:cat>
            <c:strRef>
              <c:f>'Per Pupil NEA'!$O$2:$X$2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'Per Pupil NEA'!$O$21:$X$21</c:f>
              <c:numCache>
                <c:formatCode>"$"#,##0</c:formatCode>
                <c:ptCount val="10"/>
                <c:pt idx="0">
                  <c:v>7279</c:v>
                </c:pt>
                <c:pt idx="1">
                  <c:v>7610</c:v>
                </c:pt>
                <c:pt idx="2">
                  <c:v>7807</c:v>
                </c:pt>
                <c:pt idx="3">
                  <c:v>8141</c:v>
                </c:pt>
                <c:pt idx="4">
                  <c:v>8432</c:v>
                </c:pt>
                <c:pt idx="5">
                  <c:v>9203</c:v>
                </c:pt>
                <c:pt idx="6">
                  <c:v>9455</c:v>
                </c:pt>
                <c:pt idx="7">
                  <c:v>9484</c:v>
                </c:pt>
                <c:pt idx="8">
                  <c:v>9435</c:v>
                </c:pt>
                <c:pt idx="9">
                  <c:v>9609</c:v>
                </c:pt>
              </c:numCache>
            </c:numRef>
          </c:val>
          <c:smooth val="0"/>
        </c:ser>
        <c:ser>
          <c:idx val="2"/>
          <c:order val="2"/>
          <c:marker>
            <c:symbol val="none"/>
          </c:marker>
          <c:cat>
            <c:strRef>
              <c:f>'Per Pupil NEA'!$O$2:$X$2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Lit>
              <c:formatCode>General</c:formatCode>
              <c:ptCount val="1"/>
              <c:pt idx="0">
                <c:v>1</c:v>
              </c:pt>
            </c:numLit>
          </c:val>
          <c:smooth val="0"/>
        </c:ser>
        <c:dLbls>
          <c:showLegendKey val="0"/>
          <c:showVal val="0"/>
          <c:showCatName val="0"/>
          <c:showSerName val="0"/>
          <c:showPercent val="0"/>
          <c:showBubbleSize val="0"/>
        </c:dLbls>
        <c:marker val="1"/>
        <c:smooth val="0"/>
        <c:axId val="78307328"/>
        <c:axId val="78308864"/>
      </c:lineChart>
      <c:catAx>
        <c:axId val="78307328"/>
        <c:scaling>
          <c:orientation val="minMax"/>
        </c:scaling>
        <c:delete val="0"/>
        <c:axPos val="b"/>
        <c:numFmt formatCode="General" sourceLinked="0"/>
        <c:majorTickMark val="none"/>
        <c:minorTickMark val="none"/>
        <c:tickLblPos val="nextTo"/>
        <c:txPr>
          <a:bodyPr rot="2760000"/>
          <a:lstStyle/>
          <a:p>
            <a:pPr>
              <a:defRPr/>
            </a:pPr>
            <a:endParaRPr lang="en-US"/>
          </a:p>
        </c:txPr>
        <c:crossAx val="78308864"/>
        <c:crosses val="autoZero"/>
        <c:auto val="1"/>
        <c:lblAlgn val="ctr"/>
        <c:lblOffset val="100"/>
        <c:noMultiLvlLbl val="0"/>
      </c:catAx>
      <c:valAx>
        <c:axId val="78308864"/>
        <c:scaling>
          <c:orientation val="minMax"/>
          <c:min val="7000"/>
        </c:scaling>
        <c:delete val="0"/>
        <c:axPos val="l"/>
        <c:numFmt formatCode="&quot;$&quot;#,##0" sourceLinked="1"/>
        <c:majorTickMark val="none"/>
        <c:minorTickMark val="none"/>
        <c:tickLblPos val="nextTo"/>
        <c:crossAx val="78307328"/>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4"/>
            <c:invertIfNegative val="0"/>
            <c:bubble3D val="0"/>
            <c:spPr>
              <a:solidFill>
                <a:srgbClr val="FFFF00"/>
              </a:solidFill>
            </c:spPr>
          </c:dPt>
          <c:cat>
            <c:strRef>
              <c:f>('Per Pupil NEA'!$B$15,'Per Pupil NEA'!$B$16,'Per Pupil NEA'!$B$19,'Per Pupil NEA'!$B$26,'Per Pupil NEA'!$B$27,'Per Pupil NEA'!$B$28,'Per Pupil NEA'!$B$36,'Per Pupil NEA'!$B$40)</c:f>
              <c:strCache>
                <c:ptCount val="8"/>
                <c:pt idx="0">
                  <c:v>Tennessee</c:v>
                </c:pt>
                <c:pt idx="1">
                  <c:v>Alabama</c:v>
                </c:pt>
                <c:pt idx="2">
                  <c:v>Arkansas</c:v>
                </c:pt>
                <c:pt idx="3">
                  <c:v>Ohio</c:v>
                </c:pt>
                <c:pt idx="4">
                  <c:v>Kentucky</c:v>
                </c:pt>
                <c:pt idx="5">
                  <c:v>Missouri</c:v>
                </c:pt>
                <c:pt idx="6">
                  <c:v>Indiana</c:v>
                </c:pt>
                <c:pt idx="7">
                  <c:v>West Virginia</c:v>
                </c:pt>
              </c:strCache>
            </c:strRef>
          </c:cat>
          <c:val>
            <c:numRef>
              <c:f>('Per Pupil NEA'!$X$15,'Per Pupil NEA'!$X$16,'Per Pupil NEA'!$X$19,'Per Pupil NEA'!$X$26,'Per Pupil NEA'!$X$27,'Per Pupil NEA'!$X$28,'Per Pupil NEA'!$X$36,'Per Pupil NEA'!$X$40)</c:f>
              <c:numCache>
                <c:formatCode>"$"#,##0</c:formatCode>
                <c:ptCount val="8"/>
                <c:pt idx="0">
                  <c:v>8647</c:v>
                </c:pt>
                <c:pt idx="1">
                  <c:v>8811</c:v>
                </c:pt>
                <c:pt idx="2">
                  <c:v>9384</c:v>
                </c:pt>
                <c:pt idx="3">
                  <c:v>9941</c:v>
                </c:pt>
                <c:pt idx="4">
                  <c:v>10033</c:v>
                </c:pt>
                <c:pt idx="5">
                  <c:v>10093</c:v>
                </c:pt>
                <c:pt idx="6">
                  <c:v>11129</c:v>
                </c:pt>
                <c:pt idx="7">
                  <c:v>12112</c:v>
                </c:pt>
              </c:numCache>
            </c:numRef>
          </c:val>
        </c:ser>
        <c:dLbls>
          <c:showLegendKey val="0"/>
          <c:showVal val="0"/>
          <c:showCatName val="0"/>
          <c:showSerName val="0"/>
          <c:showPercent val="0"/>
          <c:showBubbleSize val="0"/>
        </c:dLbls>
        <c:gapWidth val="150"/>
        <c:axId val="35202176"/>
        <c:axId val="35203712"/>
      </c:barChart>
      <c:catAx>
        <c:axId val="35202176"/>
        <c:scaling>
          <c:orientation val="minMax"/>
        </c:scaling>
        <c:delete val="0"/>
        <c:axPos val="b"/>
        <c:numFmt formatCode="General" sourceLinked="0"/>
        <c:majorTickMark val="out"/>
        <c:minorTickMark val="none"/>
        <c:tickLblPos val="nextTo"/>
        <c:crossAx val="35203712"/>
        <c:crosses val="autoZero"/>
        <c:auto val="1"/>
        <c:lblAlgn val="ctr"/>
        <c:lblOffset val="100"/>
        <c:noMultiLvlLbl val="0"/>
      </c:catAx>
      <c:valAx>
        <c:axId val="35203712"/>
        <c:scaling>
          <c:orientation val="minMax"/>
        </c:scaling>
        <c:delete val="0"/>
        <c:axPos val="l"/>
        <c:majorGridlines/>
        <c:numFmt formatCode="&quot;$&quot;#,##0" sourceLinked="1"/>
        <c:majorTickMark val="out"/>
        <c:minorTickMark val="none"/>
        <c:tickLblPos val="nextTo"/>
        <c:crossAx val="352021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National Average</c:v>
          </c:tx>
          <c:invertIfNegative val="0"/>
          <c:cat>
            <c:strRef>
              <c:f>'Teach Salaries - NEA'!$H$2:$Q$2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'Teach Salaries - NEA'!$H$3:$Q$3</c:f>
              <c:numCache>
                <c:formatCode>"$"#,##0</c:formatCode>
                <c:ptCount val="10"/>
                <c:pt idx="0">
                  <c:v>46704</c:v>
                </c:pt>
                <c:pt idx="1">
                  <c:v>47659</c:v>
                </c:pt>
                <c:pt idx="2">
                  <c:v>49026</c:v>
                </c:pt>
                <c:pt idx="3">
                  <c:v>50758</c:v>
                </c:pt>
                <c:pt idx="4">
                  <c:v>52800</c:v>
                </c:pt>
                <c:pt idx="5">
                  <c:v>54274</c:v>
                </c:pt>
                <c:pt idx="6">
                  <c:v>55202</c:v>
                </c:pt>
                <c:pt idx="7">
                  <c:v>55489</c:v>
                </c:pt>
                <c:pt idx="8">
                  <c:v>55389</c:v>
                </c:pt>
                <c:pt idx="9">
                  <c:v>56103</c:v>
                </c:pt>
              </c:numCache>
            </c:numRef>
          </c:val>
        </c:ser>
        <c:ser>
          <c:idx val="1"/>
          <c:order val="1"/>
          <c:tx>
            <c:v>Kentucky</c:v>
          </c:tx>
          <c:invertIfNegative val="0"/>
          <c:cat>
            <c:strRef>
              <c:f>'Teach Salaries - NEA'!$H$2:$Q$2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'Teach Salaries - NEA'!$H$20:$Q$20</c:f>
              <c:numCache>
                <c:formatCode>"$"#,##0</c:formatCode>
                <c:ptCount val="10"/>
                <c:pt idx="0">
                  <c:v>40240</c:v>
                </c:pt>
                <c:pt idx="1">
                  <c:v>40959</c:v>
                </c:pt>
                <c:pt idx="2">
                  <c:v>42592</c:v>
                </c:pt>
                <c:pt idx="3">
                  <c:v>43646</c:v>
                </c:pt>
                <c:pt idx="4">
                  <c:v>47208</c:v>
                </c:pt>
                <c:pt idx="5">
                  <c:v>47875</c:v>
                </c:pt>
                <c:pt idx="6">
                  <c:v>49543</c:v>
                </c:pt>
                <c:pt idx="7">
                  <c:v>48908</c:v>
                </c:pt>
                <c:pt idx="8">
                  <c:v>49730</c:v>
                </c:pt>
                <c:pt idx="9">
                  <c:v>50203</c:v>
                </c:pt>
              </c:numCache>
            </c:numRef>
          </c:val>
        </c:ser>
        <c:dLbls>
          <c:showLegendKey val="0"/>
          <c:showVal val="0"/>
          <c:showCatName val="0"/>
          <c:showSerName val="0"/>
          <c:showPercent val="0"/>
          <c:showBubbleSize val="0"/>
        </c:dLbls>
        <c:gapWidth val="150"/>
        <c:axId val="35223424"/>
        <c:axId val="35224960"/>
      </c:barChart>
      <c:catAx>
        <c:axId val="35223424"/>
        <c:scaling>
          <c:orientation val="minMax"/>
        </c:scaling>
        <c:delete val="0"/>
        <c:axPos val="b"/>
        <c:numFmt formatCode="General" sourceLinked="0"/>
        <c:majorTickMark val="out"/>
        <c:minorTickMark val="none"/>
        <c:tickLblPos val="nextTo"/>
        <c:crossAx val="35224960"/>
        <c:crosses val="autoZero"/>
        <c:auto val="1"/>
        <c:lblAlgn val="ctr"/>
        <c:lblOffset val="100"/>
        <c:noMultiLvlLbl val="0"/>
      </c:catAx>
      <c:valAx>
        <c:axId val="35224960"/>
        <c:scaling>
          <c:orientation val="minMax"/>
          <c:min val="30000"/>
        </c:scaling>
        <c:delete val="0"/>
        <c:axPos val="l"/>
        <c:majorGridlines/>
        <c:numFmt formatCode="&quot;$&quot;#,##0" sourceLinked="1"/>
        <c:majorTickMark val="out"/>
        <c:minorTickMark val="none"/>
        <c:tickLblPos val="nextTo"/>
        <c:crossAx val="3522342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v>Indiana</c:v>
          </c:tx>
          <c:marker>
            <c:symbol val="none"/>
          </c:marker>
          <c:cat>
            <c:strRef>
              <c:f>'Teach Salaries - NEA'!$H$2:$Q$2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'Teach Salaries - NEA'!$H$17:$Q$17</c:f>
              <c:numCache>
                <c:formatCode>"$"#,##0</c:formatCode>
                <c:ptCount val="10"/>
                <c:pt idx="0">
                  <c:v>45791</c:v>
                </c:pt>
                <c:pt idx="1">
                  <c:v>46583</c:v>
                </c:pt>
                <c:pt idx="2">
                  <c:v>47255</c:v>
                </c:pt>
                <c:pt idx="3">
                  <c:v>47831</c:v>
                </c:pt>
                <c:pt idx="4">
                  <c:v>49155</c:v>
                </c:pt>
                <c:pt idx="5">
                  <c:v>49569</c:v>
                </c:pt>
                <c:pt idx="6">
                  <c:v>49986</c:v>
                </c:pt>
                <c:pt idx="7">
                  <c:v>50801</c:v>
                </c:pt>
                <c:pt idx="8">
                  <c:v>50516</c:v>
                </c:pt>
                <c:pt idx="9">
                  <c:v>50065</c:v>
                </c:pt>
              </c:numCache>
            </c:numRef>
          </c:val>
          <c:smooth val="0"/>
        </c:ser>
        <c:ser>
          <c:idx val="1"/>
          <c:order val="1"/>
          <c:tx>
            <c:v>Kentucky</c:v>
          </c:tx>
          <c:marker>
            <c:symbol val="none"/>
          </c:marker>
          <c:cat>
            <c:strRef>
              <c:f>'Teach Salaries - NEA'!$H$2:$Q$2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'Teach Salaries - NEA'!$H$20:$Q$20</c:f>
              <c:numCache>
                <c:formatCode>"$"#,##0</c:formatCode>
                <c:ptCount val="10"/>
                <c:pt idx="0">
                  <c:v>40240</c:v>
                </c:pt>
                <c:pt idx="1">
                  <c:v>40959</c:v>
                </c:pt>
                <c:pt idx="2">
                  <c:v>42592</c:v>
                </c:pt>
                <c:pt idx="3">
                  <c:v>43646</c:v>
                </c:pt>
                <c:pt idx="4">
                  <c:v>47208</c:v>
                </c:pt>
                <c:pt idx="5">
                  <c:v>47875</c:v>
                </c:pt>
                <c:pt idx="6">
                  <c:v>49543</c:v>
                </c:pt>
                <c:pt idx="7">
                  <c:v>48908</c:v>
                </c:pt>
                <c:pt idx="8">
                  <c:v>49730</c:v>
                </c:pt>
                <c:pt idx="9">
                  <c:v>50203</c:v>
                </c:pt>
              </c:numCache>
            </c:numRef>
          </c:val>
          <c:smooth val="0"/>
        </c:ser>
        <c:ser>
          <c:idx val="2"/>
          <c:order val="2"/>
          <c:tx>
            <c:v>Ohio</c:v>
          </c:tx>
          <c:marker>
            <c:symbol val="none"/>
          </c:marker>
          <c:cat>
            <c:strRef>
              <c:f>'Teach Salaries - NEA'!$H$2:$Q$2</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'Teach Salaries - NEA'!$H$38:$Q$38</c:f>
              <c:numCache>
                <c:formatCode>"$"#,##0</c:formatCode>
                <c:ptCount val="10"/>
                <c:pt idx="0">
                  <c:v>47482</c:v>
                </c:pt>
                <c:pt idx="1">
                  <c:v>48692</c:v>
                </c:pt>
                <c:pt idx="2">
                  <c:v>50314</c:v>
                </c:pt>
                <c:pt idx="3">
                  <c:v>51937</c:v>
                </c:pt>
                <c:pt idx="4">
                  <c:v>53410</c:v>
                </c:pt>
                <c:pt idx="5">
                  <c:v>54656</c:v>
                </c:pt>
                <c:pt idx="6">
                  <c:v>55958</c:v>
                </c:pt>
                <c:pt idx="7">
                  <c:v>56715</c:v>
                </c:pt>
                <c:pt idx="8">
                  <c:v>56715</c:v>
                </c:pt>
                <c:pt idx="9">
                  <c:v>56307</c:v>
                </c:pt>
              </c:numCache>
            </c:numRef>
          </c:val>
          <c:smooth val="0"/>
        </c:ser>
        <c:dLbls>
          <c:showLegendKey val="0"/>
          <c:showVal val="0"/>
          <c:showCatName val="0"/>
          <c:showSerName val="0"/>
          <c:showPercent val="0"/>
          <c:showBubbleSize val="0"/>
        </c:dLbls>
        <c:marker val="1"/>
        <c:smooth val="0"/>
        <c:axId val="84091648"/>
        <c:axId val="84093184"/>
      </c:lineChart>
      <c:catAx>
        <c:axId val="84091648"/>
        <c:scaling>
          <c:orientation val="minMax"/>
        </c:scaling>
        <c:delete val="0"/>
        <c:axPos val="b"/>
        <c:numFmt formatCode="General" sourceLinked="0"/>
        <c:majorTickMark val="out"/>
        <c:minorTickMark val="none"/>
        <c:tickLblPos val="nextTo"/>
        <c:crossAx val="84093184"/>
        <c:crosses val="autoZero"/>
        <c:auto val="1"/>
        <c:lblAlgn val="ctr"/>
        <c:lblOffset val="100"/>
        <c:noMultiLvlLbl val="0"/>
      </c:catAx>
      <c:valAx>
        <c:axId val="84093184"/>
        <c:scaling>
          <c:orientation val="minMax"/>
          <c:min val="40000"/>
        </c:scaling>
        <c:delete val="0"/>
        <c:axPos val="l"/>
        <c:majorGridlines/>
        <c:numFmt formatCode="&quot;$&quot;#,##0" sourceLinked="1"/>
        <c:majorTickMark val="out"/>
        <c:minorTickMark val="none"/>
        <c:tickLblPos val="nextTo"/>
        <c:crossAx val="8409164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v>National Average</c:v>
          </c:tx>
          <c:marker>
            <c:symbol val="none"/>
          </c:marker>
          <c:cat>
            <c:strRef>
              <c:f>'Grad Rates'!$F$4:$J$4</c:f>
              <c:strCache>
                <c:ptCount val="5"/>
                <c:pt idx="0">
                  <c:v>2005–06</c:v>
                </c:pt>
                <c:pt idx="1">
                  <c:v>2006–07</c:v>
                </c:pt>
                <c:pt idx="2">
                  <c:v>2007–08</c:v>
                </c:pt>
                <c:pt idx="3">
                  <c:v>2008-09</c:v>
                </c:pt>
                <c:pt idx="4">
                  <c:v>2009-10</c:v>
                </c:pt>
              </c:strCache>
            </c:strRef>
          </c:cat>
          <c:val>
            <c:numRef>
              <c:f>'Grad Rates'!$F$5:$J$5</c:f>
              <c:numCache>
                <c:formatCode>#,##0.0</c:formatCode>
                <c:ptCount val="5"/>
                <c:pt idx="0">
                  <c:v>73.2</c:v>
                </c:pt>
                <c:pt idx="1">
                  <c:v>73.900000000000006</c:v>
                </c:pt>
                <c:pt idx="2">
                  <c:v>74.870793968255015</c:v>
                </c:pt>
                <c:pt idx="3">
                  <c:v>75.5</c:v>
                </c:pt>
                <c:pt idx="4">
                  <c:v>78.2</c:v>
                </c:pt>
              </c:numCache>
            </c:numRef>
          </c:val>
          <c:smooth val="0"/>
        </c:ser>
        <c:ser>
          <c:idx val="1"/>
          <c:order val="1"/>
          <c:tx>
            <c:v>Kentucky</c:v>
          </c:tx>
          <c:marker>
            <c:symbol val="none"/>
          </c:marker>
          <c:cat>
            <c:strRef>
              <c:f>'Grad Rates'!$F$4:$J$4</c:f>
              <c:strCache>
                <c:ptCount val="5"/>
                <c:pt idx="0">
                  <c:v>2005–06</c:v>
                </c:pt>
                <c:pt idx="1">
                  <c:v>2006–07</c:v>
                </c:pt>
                <c:pt idx="2">
                  <c:v>2007–08</c:v>
                </c:pt>
                <c:pt idx="3">
                  <c:v>2008-09</c:v>
                </c:pt>
                <c:pt idx="4">
                  <c:v>2009-10</c:v>
                </c:pt>
              </c:strCache>
            </c:strRef>
          </c:cat>
          <c:val>
            <c:numRef>
              <c:f>'Grad Rates'!$F$28:$J$28</c:f>
              <c:numCache>
                <c:formatCode>#,##0.0</c:formatCode>
                <c:ptCount val="5"/>
                <c:pt idx="0">
                  <c:v>77.2</c:v>
                </c:pt>
                <c:pt idx="1">
                  <c:v>76.400000000000006</c:v>
                </c:pt>
                <c:pt idx="2">
                  <c:v>74.399963378906236</c:v>
                </c:pt>
                <c:pt idx="3">
                  <c:v>77.599999999999994</c:v>
                </c:pt>
                <c:pt idx="4">
                  <c:v>79.900000000000006</c:v>
                </c:pt>
              </c:numCache>
            </c:numRef>
          </c:val>
          <c:smooth val="0"/>
        </c:ser>
        <c:dLbls>
          <c:showLegendKey val="0"/>
          <c:showVal val="0"/>
          <c:showCatName val="0"/>
          <c:showSerName val="0"/>
          <c:showPercent val="0"/>
          <c:showBubbleSize val="0"/>
        </c:dLbls>
        <c:marker val="1"/>
        <c:smooth val="0"/>
        <c:axId val="84130816"/>
        <c:axId val="84136704"/>
      </c:lineChart>
      <c:catAx>
        <c:axId val="84130816"/>
        <c:scaling>
          <c:orientation val="minMax"/>
        </c:scaling>
        <c:delete val="0"/>
        <c:axPos val="b"/>
        <c:numFmt formatCode="General" sourceLinked="0"/>
        <c:majorTickMark val="out"/>
        <c:minorTickMark val="none"/>
        <c:tickLblPos val="nextTo"/>
        <c:crossAx val="84136704"/>
        <c:crosses val="autoZero"/>
        <c:auto val="1"/>
        <c:lblAlgn val="ctr"/>
        <c:lblOffset val="100"/>
        <c:noMultiLvlLbl val="0"/>
      </c:catAx>
      <c:valAx>
        <c:axId val="84136704"/>
        <c:scaling>
          <c:orientation val="minMax"/>
        </c:scaling>
        <c:delete val="0"/>
        <c:axPos val="l"/>
        <c:majorGridlines/>
        <c:numFmt formatCode="#,##0.0" sourceLinked="1"/>
        <c:majorTickMark val="out"/>
        <c:minorTickMark val="none"/>
        <c:tickLblPos val="nextTo"/>
        <c:crossAx val="8413081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3"/>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 Rates'!$A$17,'Grad Rates'!$A$24,'Grad Rates'!$A$26,'Grad Rates'!$A$28,'Grad Rates'!$A$33,'Grad Rates'!$A$35,'Grad Rates'!$A$46,'Grad Rates'!$A$48)</c:f>
              <c:strCache>
                <c:ptCount val="8"/>
                <c:pt idx="0">
                  <c:v>Missouri</c:v>
                </c:pt>
                <c:pt idx="1">
                  <c:v>Ohio</c:v>
                </c:pt>
                <c:pt idx="2">
                  <c:v>Tennessee</c:v>
                </c:pt>
                <c:pt idx="3">
                  <c:v>Kentucky</c:v>
                </c:pt>
                <c:pt idx="4">
                  <c:v>West Virginia</c:v>
                </c:pt>
                <c:pt idx="5">
                  <c:v>Indiana</c:v>
                </c:pt>
                <c:pt idx="6">
                  <c:v>Arkansas</c:v>
                </c:pt>
                <c:pt idx="7">
                  <c:v>Alabama</c:v>
                </c:pt>
              </c:strCache>
            </c:strRef>
          </c:cat>
          <c:val>
            <c:numRef>
              <c:f>('Grad Rates'!$J$17,'Grad Rates'!$J$24,'Grad Rates'!$J$26,'Grad Rates'!$J$28,'Grad Rates'!$J$33,'Grad Rates'!$J$35,'Grad Rates'!$J$46,'Grad Rates'!$J$48)</c:f>
              <c:numCache>
                <c:formatCode>#,##0.0</c:formatCode>
                <c:ptCount val="8"/>
                <c:pt idx="0">
                  <c:v>83.7</c:v>
                </c:pt>
                <c:pt idx="1">
                  <c:v>81.400000000000006</c:v>
                </c:pt>
                <c:pt idx="2">
                  <c:v>80.400000000000006</c:v>
                </c:pt>
                <c:pt idx="3">
                  <c:v>79.900000000000006</c:v>
                </c:pt>
                <c:pt idx="4">
                  <c:v>78.3</c:v>
                </c:pt>
                <c:pt idx="5">
                  <c:v>77.2</c:v>
                </c:pt>
                <c:pt idx="6">
                  <c:v>75</c:v>
                </c:pt>
                <c:pt idx="7">
                  <c:v>71.8</c:v>
                </c:pt>
              </c:numCache>
            </c:numRef>
          </c:val>
        </c:ser>
        <c:dLbls>
          <c:showLegendKey val="0"/>
          <c:showVal val="1"/>
          <c:showCatName val="0"/>
          <c:showSerName val="0"/>
          <c:showPercent val="0"/>
          <c:showBubbleSize val="0"/>
        </c:dLbls>
        <c:gapWidth val="150"/>
        <c:shape val="cylinder"/>
        <c:axId val="78122368"/>
        <c:axId val="78129792"/>
        <c:axId val="0"/>
      </c:bar3DChart>
      <c:catAx>
        <c:axId val="78122368"/>
        <c:scaling>
          <c:orientation val="minMax"/>
        </c:scaling>
        <c:delete val="0"/>
        <c:axPos val="b"/>
        <c:numFmt formatCode="General" sourceLinked="0"/>
        <c:majorTickMark val="none"/>
        <c:minorTickMark val="none"/>
        <c:tickLblPos val="nextTo"/>
        <c:crossAx val="78129792"/>
        <c:crosses val="autoZero"/>
        <c:auto val="1"/>
        <c:lblAlgn val="ctr"/>
        <c:lblOffset val="100"/>
        <c:noMultiLvlLbl val="0"/>
      </c:catAx>
      <c:valAx>
        <c:axId val="78129792"/>
        <c:scaling>
          <c:orientation val="minMax"/>
        </c:scaling>
        <c:delete val="1"/>
        <c:axPos val="l"/>
        <c:numFmt formatCode="#,##0.0" sourceLinked="1"/>
        <c:majorTickMark val="out"/>
        <c:minorTickMark val="none"/>
        <c:tickLblPos val="none"/>
        <c:crossAx val="78122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02F5-3C57-4711-A217-7791D25F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41092</Words>
  <Characters>234229</Characters>
  <Application>Microsoft Office Word</Application>
  <DocSecurity>4</DocSecurity>
  <Lines>1951</Lines>
  <Paragraphs>549</Paragraphs>
  <ScaleCrop>false</ScaleCrop>
  <HeadingPairs>
    <vt:vector size="2" baseType="variant">
      <vt:variant>
        <vt:lpstr>Title</vt:lpstr>
      </vt:variant>
      <vt:variant>
        <vt:i4>1</vt:i4>
      </vt:variant>
    </vt:vector>
  </HeadingPairs>
  <TitlesOfParts>
    <vt:vector size="1" baseType="lpstr">
      <vt:lpstr>Need Report Title</vt:lpstr>
    </vt:vector>
  </TitlesOfParts>
  <Company>Hewlett-Packard Company</Company>
  <LinksUpToDate>false</LinksUpToDate>
  <CharactersWithSpaces>274772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Report Title</dc:title>
  <dc:subject>The Cost of Kentucky’s Common Core State Standards:  Reaching School Finance Equity and Adequacy</dc:subject>
  <dc:creator>Picus Odden &amp; Associates</dc:creator>
  <cp:lastModifiedBy>none</cp:lastModifiedBy>
  <cp:revision>2</cp:revision>
  <cp:lastPrinted>2014-01-15T13:39:00Z</cp:lastPrinted>
  <dcterms:created xsi:type="dcterms:W3CDTF">2014-12-05T02:43:00Z</dcterms:created>
  <dcterms:modified xsi:type="dcterms:W3CDTF">2014-12-05T02:43:00Z</dcterms:modified>
</cp:coreProperties>
</file>